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9C3" w:rsidRDefault="00C85959" w:rsidP="00AF0A5E">
      <w:pPr>
        <w:contextualSpacing/>
        <w:jc w:val="center"/>
        <w:rPr>
          <w:b/>
        </w:rPr>
      </w:pPr>
      <w:r w:rsidRPr="00EE725F">
        <w:rPr>
          <w:b/>
        </w:rPr>
        <w:t>NATIONAL FUTURES ASSOCIATION</w:t>
      </w:r>
    </w:p>
    <w:p w:rsidR="00C85959" w:rsidRPr="00EE725F" w:rsidRDefault="00C85959" w:rsidP="00AF0A5E">
      <w:pPr>
        <w:contextualSpacing/>
        <w:jc w:val="center"/>
        <w:rPr>
          <w:b/>
        </w:rPr>
      </w:pPr>
      <w:r w:rsidRPr="00EE725F">
        <w:rPr>
          <w:b/>
        </w:rPr>
        <w:t>BEFORE THE</w:t>
      </w:r>
    </w:p>
    <w:p w:rsidR="00C85959" w:rsidRPr="00EE725F" w:rsidRDefault="00781258" w:rsidP="00AF0A5E">
      <w:pPr>
        <w:ind w:left="1440" w:firstLine="720"/>
        <w:contextualSpacing/>
        <w:rPr>
          <w:b/>
        </w:rPr>
      </w:pPr>
      <w:r>
        <w:rPr>
          <w:b/>
        </w:rPr>
        <w:t xml:space="preserve">     </w:t>
      </w:r>
      <w:r w:rsidR="00C85959" w:rsidRPr="00EE725F">
        <w:rPr>
          <w:b/>
        </w:rPr>
        <w:t>BUSINESS CONDUCT COMMITTEE</w:t>
      </w:r>
      <w:r>
        <w:rPr>
          <w:b/>
        </w:rPr>
        <w:t xml:space="preserve">                            </w:t>
      </w:r>
    </w:p>
    <w:p w:rsidR="00C85959" w:rsidRPr="00EE725F" w:rsidRDefault="00C85959" w:rsidP="00AF0A5E">
      <w:pPr>
        <w:contextualSpacing/>
      </w:pPr>
    </w:p>
    <w:p w:rsidR="00C85959" w:rsidRPr="00EE725F" w:rsidRDefault="00C85959" w:rsidP="00AF0A5E">
      <w:pPr>
        <w:contextualSpacing/>
      </w:pPr>
      <w:r w:rsidRPr="00EE725F">
        <w:t>In the Matter of:</w:t>
      </w:r>
      <w:r w:rsidR="005631EC" w:rsidRPr="00EE725F">
        <w:tab/>
      </w:r>
      <w:r w:rsidR="005631EC" w:rsidRPr="00EE725F">
        <w:tab/>
      </w:r>
      <w:r w:rsidR="005631EC" w:rsidRPr="00EE725F">
        <w:tab/>
      </w:r>
      <w:r w:rsidR="005631EC" w:rsidRPr="00EE725F">
        <w:tab/>
        <w:t>)</w:t>
      </w:r>
    </w:p>
    <w:p w:rsidR="00C85959" w:rsidRPr="00EE725F" w:rsidRDefault="005631EC" w:rsidP="00AF0A5E">
      <w:pPr>
        <w:contextualSpacing/>
      </w:pPr>
      <w:r w:rsidRPr="00EE725F">
        <w:tab/>
      </w:r>
      <w:r w:rsidRPr="00EE725F">
        <w:tab/>
      </w:r>
      <w:r w:rsidRPr="00EE725F">
        <w:tab/>
      </w:r>
      <w:r w:rsidRPr="00EE725F">
        <w:tab/>
      </w:r>
      <w:r w:rsidRPr="00EE725F">
        <w:tab/>
      </w:r>
      <w:r w:rsidRPr="00EE725F">
        <w:tab/>
        <w:t>)</w:t>
      </w:r>
    </w:p>
    <w:p w:rsidR="000774E4" w:rsidRPr="00EE725F" w:rsidRDefault="00C85959" w:rsidP="00AF0A5E">
      <w:pPr>
        <w:contextualSpacing/>
      </w:pPr>
      <w:r w:rsidRPr="00EE725F">
        <w:rPr>
          <w:b/>
        </w:rPr>
        <w:t>INSTITUTIONAL LIQUIDITY LLC</w:t>
      </w:r>
      <w:r w:rsidR="000774E4" w:rsidRPr="00EE725F">
        <w:rPr>
          <w:b/>
        </w:rPr>
        <w:t xml:space="preserve"> </w:t>
      </w:r>
      <w:r w:rsidR="000774E4" w:rsidRPr="00EE725F">
        <w:rPr>
          <w:b/>
        </w:rPr>
        <w:tab/>
      </w:r>
      <w:r w:rsidR="000774E4" w:rsidRPr="00EE725F">
        <w:t>)</w:t>
      </w:r>
      <w:r w:rsidR="000774E4" w:rsidRPr="00EE725F">
        <w:tab/>
        <w:t>NFA Case No. 13-BCC-031</w:t>
      </w:r>
    </w:p>
    <w:p w:rsidR="000774E4" w:rsidRPr="00EE725F" w:rsidRDefault="000774E4" w:rsidP="00AF0A5E">
      <w:pPr>
        <w:contextualSpacing/>
      </w:pPr>
      <w:r w:rsidRPr="00EE725F">
        <w:t>(NFA ID #367140)</w:t>
      </w:r>
      <w:r w:rsidR="00214190" w:rsidRPr="00EE725F">
        <w:t>;</w:t>
      </w:r>
      <w:r w:rsidRPr="00EE725F">
        <w:t xml:space="preserve"> </w:t>
      </w:r>
      <w:r w:rsidR="00214190" w:rsidRPr="00EE725F">
        <w:rPr>
          <w:b/>
        </w:rPr>
        <w:t>MARK D. KRIER</w:t>
      </w:r>
      <w:r w:rsidRPr="00EE725F">
        <w:t xml:space="preserve"> </w:t>
      </w:r>
      <w:r w:rsidRPr="00EE725F">
        <w:tab/>
        <w:t>)</w:t>
      </w:r>
    </w:p>
    <w:p w:rsidR="00214190" w:rsidRPr="00EE725F" w:rsidRDefault="000774E4" w:rsidP="00AF0A5E">
      <w:pPr>
        <w:contextualSpacing/>
      </w:pPr>
      <w:r w:rsidRPr="00EE725F">
        <w:t>(NFA ID #406816)</w:t>
      </w:r>
      <w:r w:rsidR="00214190" w:rsidRPr="00EE725F">
        <w:t xml:space="preserve">; </w:t>
      </w:r>
      <w:r w:rsidR="00214190" w:rsidRPr="00EE725F">
        <w:rPr>
          <w:b/>
        </w:rPr>
        <w:t>JAMES D. PIERON</w:t>
      </w:r>
      <w:r w:rsidR="00214190" w:rsidRPr="00EE725F">
        <w:t xml:space="preserve"> </w:t>
      </w:r>
      <w:r w:rsidR="00214190" w:rsidRPr="00EE725F">
        <w:tab/>
        <w:t>)</w:t>
      </w:r>
    </w:p>
    <w:p w:rsidR="000774E4" w:rsidRPr="00EE725F" w:rsidRDefault="000774E4" w:rsidP="00AF0A5E">
      <w:pPr>
        <w:contextualSpacing/>
      </w:pPr>
      <w:r w:rsidRPr="00EE725F">
        <w:t xml:space="preserve">(NFA ID #420686); </w:t>
      </w:r>
      <w:r w:rsidR="00214190" w:rsidRPr="00EE725F">
        <w:t xml:space="preserve">and </w:t>
      </w:r>
      <w:r w:rsidR="00214190" w:rsidRPr="00EE725F">
        <w:rPr>
          <w:b/>
        </w:rPr>
        <w:t>JASON L.</w:t>
      </w:r>
      <w:r w:rsidR="00214190" w:rsidRPr="00EE725F">
        <w:t xml:space="preserve"> </w:t>
      </w:r>
      <w:r w:rsidRPr="00EE725F">
        <w:tab/>
      </w:r>
      <w:r w:rsidRPr="00EE725F">
        <w:tab/>
        <w:t>)</w:t>
      </w:r>
    </w:p>
    <w:p w:rsidR="000774E4" w:rsidRPr="00EE725F" w:rsidRDefault="00214190" w:rsidP="00AF0A5E">
      <w:pPr>
        <w:contextualSpacing/>
      </w:pPr>
      <w:r w:rsidRPr="00EE725F">
        <w:rPr>
          <w:b/>
        </w:rPr>
        <w:t>TANNER</w:t>
      </w:r>
      <w:r w:rsidR="000774E4" w:rsidRPr="00EE725F">
        <w:t xml:space="preserve"> </w:t>
      </w:r>
      <w:r w:rsidR="0066106A" w:rsidRPr="00EE725F">
        <w:t>(N</w:t>
      </w:r>
      <w:r w:rsidR="000774E4" w:rsidRPr="00EE725F">
        <w:t>FA ID #323680</w:t>
      </w:r>
      <w:r w:rsidR="0066106A" w:rsidRPr="00EE725F">
        <w:t>)</w:t>
      </w:r>
      <w:r w:rsidR="000774E4" w:rsidRPr="00EE725F">
        <w:tab/>
      </w:r>
      <w:r w:rsidR="000774E4" w:rsidRPr="00EE725F">
        <w:tab/>
        <w:t>)</w:t>
      </w:r>
    </w:p>
    <w:p w:rsidR="00C85959" w:rsidRPr="00EE725F" w:rsidRDefault="00304A39" w:rsidP="00AF0A5E">
      <w:pPr>
        <w:contextualSpacing/>
      </w:pPr>
      <w:r w:rsidRPr="00EE725F">
        <w:tab/>
      </w:r>
      <w:r w:rsidR="00C85959" w:rsidRPr="00EE725F">
        <w:tab/>
      </w:r>
      <w:r w:rsidRPr="00EE725F">
        <w:tab/>
      </w:r>
      <w:r w:rsidR="0066106A" w:rsidRPr="00EE725F">
        <w:t xml:space="preserve">      </w:t>
      </w:r>
      <w:r w:rsidR="00C85959" w:rsidRPr="00EE725F">
        <w:t>Respondent</w:t>
      </w:r>
      <w:r w:rsidR="00214190" w:rsidRPr="00EE725F">
        <w:t>s</w:t>
      </w:r>
      <w:r w:rsidR="00C85959" w:rsidRPr="00EE725F">
        <w:t>.</w:t>
      </w:r>
      <w:r w:rsidR="005631EC" w:rsidRPr="00EE725F">
        <w:tab/>
        <w:t>)</w:t>
      </w:r>
    </w:p>
    <w:p w:rsidR="00FE1D55" w:rsidRPr="00EE725F" w:rsidRDefault="00FE1D55" w:rsidP="00AF0A5E">
      <w:pPr>
        <w:contextualSpacing/>
      </w:pPr>
    </w:p>
    <w:p w:rsidR="00976149" w:rsidRDefault="004618E2" w:rsidP="00AF0A5E">
      <w:pPr>
        <w:spacing w:after="360"/>
        <w:contextualSpacing/>
        <w:jc w:val="center"/>
        <w:rPr>
          <w:b/>
          <w:u w:val="single"/>
        </w:rPr>
      </w:pPr>
      <w:r w:rsidRPr="00EE725F">
        <w:rPr>
          <w:b/>
        </w:rPr>
        <w:t>I</w:t>
      </w:r>
      <w:r w:rsidR="009508CC" w:rsidRPr="00EE725F">
        <w:rPr>
          <w:b/>
        </w:rPr>
        <w:t xml:space="preserve">NSTITUTIONAL LIQUIDITY LLC’S </w:t>
      </w:r>
      <w:r w:rsidR="00C85959" w:rsidRPr="00EE725F">
        <w:rPr>
          <w:b/>
        </w:rPr>
        <w:t xml:space="preserve">ANSWER TO </w:t>
      </w:r>
      <w:r w:rsidR="009508CC" w:rsidRPr="00EE725F">
        <w:rPr>
          <w:b/>
          <w:u w:val="single"/>
        </w:rPr>
        <w:br/>
      </w:r>
      <w:r w:rsidR="00282A8D" w:rsidRPr="00EE725F">
        <w:rPr>
          <w:b/>
          <w:u w:val="single"/>
        </w:rPr>
        <w:t xml:space="preserve">NFA </w:t>
      </w:r>
      <w:r w:rsidR="00C85959" w:rsidRPr="00EE725F">
        <w:rPr>
          <w:b/>
          <w:u w:val="single"/>
        </w:rPr>
        <w:t>COMPLAINT</w:t>
      </w:r>
      <w:r w:rsidR="00282A8D" w:rsidRPr="00EE725F">
        <w:rPr>
          <w:b/>
          <w:u w:val="single"/>
        </w:rPr>
        <w:t xml:space="preserve"> </w:t>
      </w:r>
      <w:r w:rsidR="009A576A" w:rsidRPr="00EE725F">
        <w:rPr>
          <w:b/>
          <w:u w:val="single"/>
        </w:rPr>
        <w:t xml:space="preserve">FILED </w:t>
      </w:r>
      <w:r w:rsidR="00282A8D" w:rsidRPr="00EE725F">
        <w:rPr>
          <w:b/>
          <w:u w:val="single"/>
        </w:rPr>
        <w:t>J</w:t>
      </w:r>
      <w:r w:rsidR="00214190" w:rsidRPr="00EE725F">
        <w:rPr>
          <w:b/>
          <w:u w:val="single"/>
        </w:rPr>
        <w:t xml:space="preserve">ANUARY 13, </w:t>
      </w:r>
      <w:r w:rsidR="00282A8D" w:rsidRPr="00EE725F">
        <w:rPr>
          <w:b/>
          <w:u w:val="single"/>
        </w:rPr>
        <w:t>201</w:t>
      </w:r>
      <w:r w:rsidR="00214190" w:rsidRPr="00EE725F">
        <w:rPr>
          <w:b/>
          <w:u w:val="single"/>
        </w:rPr>
        <w:t>4</w:t>
      </w:r>
    </w:p>
    <w:p w:rsidR="004A6800" w:rsidRPr="00EE725F" w:rsidRDefault="004A6800" w:rsidP="00AF0A5E">
      <w:pPr>
        <w:spacing w:after="360"/>
        <w:contextualSpacing/>
        <w:jc w:val="center"/>
        <w:rPr>
          <w:b/>
          <w:u w:val="single"/>
        </w:rPr>
      </w:pPr>
    </w:p>
    <w:p w:rsidR="00B131A8" w:rsidRDefault="00B131A8" w:rsidP="00AF0A5E">
      <w:pPr>
        <w:spacing w:line="480" w:lineRule="auto"/>
        <w:contextualSpacing/>
        <w:jc w:val="both"/>
        <w:rPr>
          <w:sz w:val="28"/>
          <w:szCs w:val="28"/>
        </w:rPr>
      </w:pPr>
      <w:r w:rsidRPr="00B131A8">
        <w:rPr>
          <w:sz w:val="28"/>
          <w:szCs w:val="28"/>
        </w:rPr>
        <w:tab/>
      </w:r>
      <w:r>
        <w:rPr>
          <w:sz w:val="28"/>
          <w:szCs w:val="28"/>
        </w:rPr>
        <w:t>In response to the N</w:t>
      </w:r>
      <w:r w:rsidR="00685BF3">
        <w:rPr>
          <w:sz w:val="28"/>
          <w:szCs w:val="28"/>
        </w:rPr>
        <w:t xml:space="preserve">FA’s </w:t>
      </w:r>
      <w:r w:rsidR="009A576A">
        <w:rPr>
          <w:sz w:val="28"/>
          <w:szCs w:val="28"/>
        </w:rPr>
        <w:t xml:space="preserve">January 13, 2014 </w:t>
      </w:r>
      <w:r>
        <w:rPr>
          <w:sz w:val="28"/>
          <w:szCs w:val="28"/>
        </w:rPr>
        <w:t>Complaint</w:t>
      </w:r>
      <w:r w:rsidR="0089473C">
        <w:rPr>
          <w:sz w:val="28"/>
          <w:szCs w:val="28"/>
        </w:rPr>
        <w:t>,</w:t>
      </w:r>
      <w:r>
        <w:rPr>
          <w:sz w:val="28"/>
          <w:szCs w:val="28"/>
        </w:rPr>
        <w:t xml:space="preserve"> </w:t>
      </w:r>
      <w:r w:rsidR="0089473C">
        <w:rPr>
          <w:sz w:val="28"/>
          <w:szCs w:val="28"/>
        </w:rPr>
        <w:t>Institutional Liquidity LLC</w:t>
      </w:r>
      <w:r w:rsidR="000F12A2">
        <w:rPr>
          <w:sz w:val="28"/>
          <w:szCs w:val="28"/>
        </w:rPr>
        <w:t xml:space="preserve">, through counsel, </w:t>
      </w:r>
      <w:r w:rsidR="003A5B23">
        <w:rPr>
          <w:sz w:val="28"/>
          <w:szCs w:val="28"/>
        </w:rPr>
        <w:t xml:space="preserve">answers and </w:t>
      </w:r>
      <w:r w:rsidR="005F2A5B">
        <w:rPr>
          <w:sz w:val="28"/>
          <w:szCs w:val="28"/>
        </w:rPr>
        <w:t>sets forth its defense</w:t>
      </w:r>
      <w:r w:rsidR="004618E2">
        <w:rPr>
          <w:sz w:val="28"/>
          <w:szCs w:val="28"/>
        </w:rPr>
        <w:t>s</w:t>
      </w:r>
      <w:r w:rsidR="00F12DBB">
        <w:rPr>
          <w:sz w:val="28"/>
          <w:szCs w:val="28"/>
        </w:rPr>
        <w:t>.</w:t>
      </w:r>
    </w:p>
    <w:p w:rsidR="00297F19" w:rsidRDefault="00297F19" w:rsidP="00AF0A5E">
      <w:pPr>
        <w:spacing w:line="480" w:lineRule="auto"/>
        <w:contextualSpacing/>
        <w:jc w:val="both"/>
        <w:rPr>
          <w:b/>
          <w:sz w:val="28"/>
          <w:szCs w:val="28"/>
          <w:u w:val="single"/>
        </w:rPr>
      </w:pPr>
      <w:r>
        <w:rPr>
          <w:b/>
          <w:sz w:val="28"/>
          <w:szCs w:val="28"/>
          <w:u w:val="single"/>
        </w:rPr>
        <w:t>ILQ’s Request of the Committee</w:t>
      </w:r>
      <w:r w:rsidR="00D67AC1">
        <w:rPr>
          <w:b/>
          <w:sz w:val="28"/>
          <w:szCs w:val="28"/>
          <w:u w:val="single"/>
        </w:rPr>
        <w:t xml:space="preserve"> - - Dismissal</w:t>
      </w:r>
    </w:p>
    <w:p w:rsidR="008E50A0" w:rsidRDefault="00AE0E6D" w:rsidP="00AF0A5E">
      <w:pPr>
        <w:pStyle w:val="ListParagraph"/>
        <w:numPr>
          <w:ilvl w:val="0"/>
          <w:numId w:val="13"/>
        </w:numPr>
        <w:spacing w:line="480" w:lineRule="auto"/>
        <w:ind w:left="0" w:firstLine="720"/>
        <w:jc w:val="both"/>
        <w:rPr>
          <w:sz w:val="28"/>
          <w:szCs w:val="28"/>
        </w:rPr>
      </w:pPr>
      <w:r w:rsidRPr="008E50A0">
        <w:rPr>
          <w:sz w:val="28"/>
          <w:szCs w:val="28"/>
        </w:rPr>
        <w:t xml:space="preserve">The Complaint </w:t>
      </w:r>
      <w:proofErr w:type="gramStart"/>
      <w:r w:rsidRPr="008E50A0">
        <w:rPr>
          <w:sz w:val="28"/>
          <w:szCs w:val="28"/>
        </w:rPr>
        <w:t>must be dismissed</w:t>
      </w:r>
      <w:proofErr w:type="gramEnd"/>
      <w:r w:rsidRPr="008E50A0">
        <w:rPr>
          <w:sz w:val="28"/>
          <w:szCs w:val="28"/>
        </w:rPr>
        <w:t xml:space="preserve"> with prejudice. </w:t>
      </w:r>
    </w:p>
    <w:p w:rsidR="00915119" w:rsidRDefault="00AE0E6D" w:rsidP="00AF0A5E">
      <w:pPr>
        <w:pStyle w:val="ListParagraph"/>
        <w:numPr>
          <w:ilvl w:val="0"/>
          <w:numId w:val="13"/>
        </w:numPr>
        <w:spacing w:line="480" w:lineRule="auto"/>
        <w:ind w:left="0" w:firstLine="720"/>
        <w:jc w:val="both"/>
        <w:rPr>
          <w:sz w:val="28"/>
          <w:szCs w:val="28"/>
        </w:rPr>
      </w:pPr>
      <w:r w:rsidRPr="008E50A0">
        <w:rPr>
          <w:sz w:val="28"/>
          <w:szCs w:val="28"/>
        </w:rPr>
        <w:t xml:space="preserve">The NFA wrongfully seeks sanctions against three </w:t>
      </w:r>
      <w:r w:rsidR="005A5AA5" w:rsidRPr="008E50A0">
        <w:rPr>
          <w:sz w:val="28"/>
          <w:szCs w:val="28"/>
        </w:rPr>
        <w:t>r</w:t>
      </w:r>
      <w:r w:rsidRPr="008E50A0">
        <w:rPr>
          <w:sz w:val="28"/>
          <w:szCs w:val="28"/>
        </w:rPr>
        <w:t xml:space="preserve">espondents for failure </w:t>
      </w:r>
      <w:proofErr w:type="gramStart"/>
      <w:r w:rsidRPr="008E50A0">
        <w:rPr>
          <w:sz w:val="28"/>
          <w:szCs w:val="28"/>
        </w:rPr>
        <w:t>to timely cooperate</w:t>
      </w:r>
      <w:proofErr w:type="gramEnd"/>
      <w:r w:rsidRPr="008E50A0">
        <w:rPr>
          <w:sz w:val="28"/>
          <w:szCs w:val="28"/>
        </w:rPr>
        <w:t xml:space="preserve"> in an investigation and produce documents </w:t>
      </w:r>
      <w:r w:rsidRPr="008E50A0">
        <w:rPr>
          <w:b/>
          <w:sz w:val="28"/>
          <w:szCs w:val="28"/>
        </w:rPr>
        <w:t>not in their possession, custody or control</w:t>
      </w:r>
      <w:r w:rsidRPr="008E50A0">
        <w:rPr>
          <w:sz w:val="28"/>
          <w:szCs w:val="28"/>
        </w:rPr>
        <w:t xml:space="preserve"> </w:t>
      </w:r>
      <w:r w:rsidR="005A5AA5" w:rsidRPr="008E50A0">
        <w:rPr>
          <w:sz w:val="28"/>
          <w:szCs w:val="28"/>
        </w:rPr>
        <w:t xml:space="preserve">and as </w:t>
      </w:r>
      <w:r w:rsidRPr="008E50A0">
        <w:rPr>
          <w:sz w:val="28"/>
          <w:szCs w:val="28"/>
        </w:rPr>
        <w:t>to which they had no ability to produce.</w:t>
      </w:r>
      <w:r w:rsidR="00173EDA" w:rsidRPr="008E50A0">
        <w:rPr>
          <w:sz w:val="28"/>
          <w:szCs w:val="28"/>
        </w:rPr>
        <w:t xml:space="preserve">  The NFA seeks sanctions against a fourth respondent for failure to supervise even though there was </w:t>
      </w:r>
      <w:r w:rsidR="00173EDA" w:rsidRPr="008E50A0">
        <w:rPr>
          <w:b/>
          <w:sz w:val="28"/>
          <w:szCs w:val="28"/>
        </w:rPr>
        <w:t>no underlying violation</w:t>
      </w:r>
      <w:r w:rsidR="00173EDA" w:rsidRPr="008E50A0">
        <w:rPr>
          <w:sz w:val="28"/>
          <w:szCs w:val="28"/>
        </w:rPr>
        <w:t xml:space="preserve"> of NFA Compliance </w:t>
      </w:r>
      <w:r w:rsidR="005A5AA5" w:rsidRPr="008E50A0">
        <w:rPr>
          <w:sz w:val="28"/>
          <w:szCs w:val="28"/>
        </w:rPr>
        <w:t>R</w:t>
      </w:r>
      <w:r w:rsidR="00173EDA" w:rsidRPr="008E50A0">
        <w:rPr>
          <w:sz w:val="28"/>
          <w:szCs w:val="28"/>
        </w:rPr>
        <w:t>ules, and that respondent acted in good faith and without deliberate indifference.</w:t>
      </w:r>
    </w:p>
    <w:p w:rsidR="00D67AC1" w:rsidRPr="00C75451" w:rsidRDefault="004F1612" w:rsidP="00AF0A5E">
      <w:pPr>
        <w:pStyle w:val="ListParagraph"/>
        <w:numPr>
          <w:ilvl w:val="0"/>
          <w:numId w:val="13"/>
        </w:numPr>
        <w:spacing w:line="480" w:lineRule="auto"/>
        <w:ind w:left="0" w:firstLine="720"/>
        <w:jc w:val="both"/>
        <w:rPr>
          <w:sz w:val="28"/>
          <w:szCs w:val="28"/>
        </w:rPr>
      </w:pPr>
      <w:r w:rsidRPr="00C75451">
        <w:rPr>
          <w:sz w:val="28"/>
          <w:szCs w:val="28"/>
        </w:rPr>
        <w:t xml:space="preserve">The objectives of the NFA investigation </w:t>
      </w:r>
      <w:proofErr w:type="gramStart"/>
      <w:r w:rsidRPr="00C75451">
        <w:rPr>
          <w:sz w:val="28"/>
          <w:szCs w:val="28"/>
        </w:rPr>
        <w:t xml:space="preserve">were </w:t>
      </w:r>
      <w:r w:rsidRPr="00C75451">
        <w:rPr>
          <w:b/>
          <w:sz w:val="28"/>
          <w:szCs w:val="28"/>
        </w:rPr>
        <w:t>fully</w:t>
      </w:r>
      <w:r w:rsidRPr="00C75451">
        <w:rPr>
          <w:sz w:val="28"/>
          <w:szCs w:val="28"/>
        </w:rPr>
        <w:t xml:space="preserve"> </w:t>
      </w:r>
      <w:r w:rsidRPr="00C75451">
        <w:rPr>
          <w:b/>
          <w:sz w:val="28"/>
          <w:szCs w:val="28"/>
        </w:rPr>
        <w:t>met</w:t>
      </w:r>
      <w:proofErr w:type="gramEnd"/>
      <w:r w:rsidRPr="00C75451">
        <w:rPr>
          <w:sz w:val="28"/>
          <w:szCs w:val="28"/>
        </w:rPr>
        <w:t xml:space="preserve">.  </w:t>
      </w:r>
      <w:r w:rsidR="00D67AC1" w:rsidRPr="00C75451">
        <w:rPr>
          <w:sz w:val="28"/>
          <w:szCs w:val="28"/>
        </w:rPr>
        <w:t>A focus of the investigation was the pursuit of information</w:t>
      </w:r>
      <w:r w:rsidR="007F3083" w:rsidRPr="00C75451">
        <w:rPr>
          <w:sz w:val="28"/>
          <w:szCs w:val="28"/>
        </w:rPr>
        <w:t xml:space="preserve"> regarding Harrison Associates and </w:t>
      </w:r>
      <w:proofErr w:type="spellStart"/>
      <w:r w:rsidR="007F3083" w:rsidRPr="00C75451">
        <w:rPr>
          <w:sz w:val="28"/>
          <w:szCs w:val="28"/>
        </w:rPr>
        <w:lastRenderedPageBreak/>
        <w:t>Harald</w:t>
      </w:r>
      <w:proofErr w:type="spellEnd"/>
      <w:r w:rsidR="007F3083" w:rsidRPr="00C75451">
        <w:rPr>
          <w:sz w:val="28"/>
          <w:szCs w:val="28"/>
        </w:rPr>
        <w:t xml:space="preserve"> </w:t>
      </w:r>
      <w:proofErr w:type="spellStart"/>
      <w:r w:rsidR="007F3083" w:rsidRPr="00C75451">
        <w:rPr>
          <w:sz w:val="28"/>
          <w:szCs w:val="28"/>
        </w:rPr>
        <w:t>McPike</w:t>
      </w:r>
      <w:proofErr w:type="spellEnd"/>
      <w:r w:rsidR="007F3083" w:rsidRPr="00C75451">
        <w:rPr>
          <w:sz w:val="28"/>
          <w:szCs w:val="28"/>
        </w:rPr>
        <w:t>.</w:t>
      </w:r>
      <w:r w:rsidR="007F3083">
        <w:rPr>
          <w:rStyle w:val="FootnoteReference"/>
          <w:sz w:val="28"/>
          <w:szCs w:val="28"/>
        </w:rPr>
        <w:footnoteReference w:id="1"/>
      </w:r>
      <w:r w:rsidR="004C4B42" w:rsidRPr="00C75451">
        <w:rPr>
          <w:sz w:val="28"/>
          <w:szCs w:val="28"/>
        </w:rPr>
        <w:t xml:space="preserve">  (H</w:t>
      </w:r>
      <w:r w:rsidR="008A3F5B">
        <w:rPr>
          <w:sz w:val="28"/>
          <w:szCs w:val="28"/>
        </w:rPr>
        <w:t xml:space="preserve">arrison </w:t>
      </w:r>
      <w:r w:rsidR="004C4B42" w:rsidRPr="00C75451">
        <w:rPr>
          <w:sz w:val="28"/>
          <w:szCs w:val="28"/>
        </w:rPr>
        <w:t xml:space="preserve">is an owner and principal of </w:t>
      </w:r>
      <w:proofErr w:type="gramStart"/>
      <w:r w:rsidR="004C4B42" w:rsidRPr="00C75451">
        <w:rPr>
          <w:sz w:val="28"/>
          <w:szCs w:val="28"/>
        </w:rPr>
        <w:t>ILQ,</w:t>
      </w:r>
      <w:proofErr w:type="gramEnd"/>
      <w:r w:rsidR="004C4B42" w:rsidRPr="00C75451">
        <w:rPr>
          <w:sz w:val="28"/>
          <w:szCs w:val="28"/>
        </w:rPr>
        <w:t xml:space="preserve"> and HMcP owns H</w:t>
      </w:r>
      <w:r w:rsidR="008A3F5B">
        <w:rPr>
          <w:sz w:val="28"/>
          <w:szCs w:val="28"/>
        </w:rPr>
        <w:t xml:space="preserve">arrison </w:t>
      </w:r>
      <w:r w:rsidR="004C4B42" w:rsidRPr="00C75451">
        <w:rPr>
          <w:sz w:val="28"/>
          <w:szCs w:val="28"/>
        </w:rPr>
        <w:t>and is a principal of ILQ.)</w:t>
      </w:r>
      <w:r w:rsidR="000A4AD6" w:rsidRPr="00C75451">
        <w:rPr>
          <w:sz w:val="28"/>
          <w:szCs w:val="28"/>
        </w:rPr>
        <w:t xml:space="preserve">  The NFA inquiry established beyond doubt that </w:t>
      </w:r>
      <w:r w:rsidR="000A4AD6" w:rsidRPr="00C75451">
        <w:rPr>
          <w:b/>
          <w:sz w:val="28"/>
          <w:szCs w:val="28"/>
        </w:rPr>
        <w:t>(1)</w:t>
      </w:r>
      <w:r w:rsidR="000A4AD6" w:rsidRPr="00C75451">
        <w:rPr>
          <w:sz w:val="28"/>
          <w:szCs w:val="28"/>
        </w:rPr>
        <w:t xml:space="preserve"> there is </w:t>
      </w:r>
      <w:r w:rsidR="000A4AD6" w:rsidRPr="00FA4536">
        <w:rPr>
          <w:b/>
          <w:sz w:val="28"/>
          <w:szCs w:val="28"/>
        </w:rPr>
        <w:t xml:space="preserve">no </w:t>
      </w:r>
      <w:r w:rsidR="00DE3E26" w:rsidRPr="00FA4536">
        <w:rPr>
          <w:b/>
          <w:sz w:val="28"/>
          <w:szCs w:val="28"/>
        </w:rPr>
        <w:t>undisclosed party</w:t>
      </w:r>
      <w:r w:rsidR="00DE3E26" w:rsidRPr="00C75451">
        <w:rPr>
          <w:sz w:val="28"/>
          <w:szCs w:val="28"/>
        </w:rPr>
        <w:t xml:space="preserve"> associated with HA/HMcP as principals of ILQ, </w:t>
      </w:r>
      <w:r w:rsidR="00DE3E26" w:rsidRPr="00C75451">
        <w:rPr>
          <w:b/>
          <w:sz w:val="28"/>
          <w:szCs w:val="28"/>
        </w:rPr>
        <w:t>(2)</w:t>
      </w:r>
      <w:r w:rsidR="00DE3E26" w:rsidRPr="00C75451">
        <w:rPr>
          <w:sz w:val="28"/>
          <w:szCs w:val="28"/>
        </w:rPr>
        <w:t xml:space="preserve"> </w:t>
      </w:r>
      <w:r w:rsidR="006E2E56" w:rsidRPr="00C75451">
        <w:rPr>
          <w:sz w:val="28"/>
          <w:szCs w:val="28"/>
        </w:rPr>
        <w:t xml:space="preserve">HMcP has the financial </w:t>
      </w:r>
      <w:r w:rsidR="006E2E56" w:rsidRPr="00FA4536">
        <w:rPr>
          <w:b/>
          <w:sz w:val="28"/>
          <w:szCs w:val="28"/>
        </w:rPr>
        <w:t>capabilities to fund</w:t>
      </w:r>
      <w:r w:rsidR="006E2E56" w:rsidRPr="00C75451">
        <w:rPr>
          <w:sz w:val="28"/>
          <w:szCs w:val="28"/>
        </w:rPr>
        <w:t xml:space="preserve"> ILQ, </w:t>
      </w:r>
      <w:r w:rsidR="006E2E56" w:rsidRPr="00C75451">
        <w:rPr>
          <w:b/>
          <w:sz w:val="28"/>
          <w:szCs w:val="28"/>
        </w:rPr>
        <w:t>(3)</w:t>
      </w:r>
      <w:r w:rsidR="006E2E56" w:rsidRPr="00C75451">
        <w:rPr>
          <w:sz w:val="28"/>
          <w:szCs w:val="28"/>
        </w:rPr>
        <w:t xml:space="preserve"> there was </w:t>
      </w:r>
      <w:r w:rsidR="006E2E56" w:rsidRPr="00FA4536">
        <w:rPr>
          <w:b/>
          <w:sz w:val="28"/>
          <w:szCs w:val="28"/>
        </w:rPr>
        <w:t>no suspicious activity</w:t>
      </w:r>
      <w:r w:rsidR="006E2E56" w:rsidRPr="00C75451">
        <w:rPr>
          <w:sz w:val="28"/>
          <w:szCs w:val="28"/>
        </w:rPr>
        <w:t xml:space="preserve"> in connection with HMcP’s capital infusions into ILQ</w:t>
      </w:r>
      <w:r w:rsidR="0092172F" w:rsidRPr="00C75451">
        <w:rPr>
          <w:sz w:val="28"/>
          <w:szCs w:val="28"/>
        </w:rPr>
        <w:t xml:space="preserve"> and </w:t>
      </w:r>
      <w:r w:rsidR="0092172F" w:rsidRPr="00C75451">
        <w:rPr>
          <w:b/>
          <w:sz w:val="28"/>
          <w:szCs w:val="28"/>
        </w:rPr>
        <w:t>(4)</w:t>
      </w:r>
      <w:r w:rsidR="0092172F" w:rsidRPr="00C75451">
        <w:rPr>
          <w:sz w:val="28"/>
          <w:szCs w:val="28"/>
        </w:rPr>
        <w:t xml:space="preserve"> HA/HMcP </w:t>
      </w:r>
      <w:r w:rsidR="005A22B1" w:rsidRPr="00FA4536">
        <w:rPr>
          <w:b/>
          <w:sz w:val="28"/>
          <w:szCs w:val="28"/>
        </w:rPr>
        <w:t xml:space="preserve">never </w:t>
      </w:r>
      <w:r w:rsidR="00C75451" w:rsidRPr="00FA4536">
        <w:rPr>
          <w:b/>
          <w:sz w:val="28"/>
          <w:szCs w:val="28"/>
        </w:rPr>
        <w:t xml:space="preserve">has </w:t>
      </w:r>
      <w:r w:rsidR="005A22B1" w:rsidRPr="00FA4536">
        <w:rPr>
          <w:b/>
          <w:sz w:val="28"/>
          <w:szCs w:val="28"/>
        </w:rPr>
        <w:t>had any “relationships”</w:t>
      </w:r>
      <w:r w:rsidR="005A22B1" w:rsidRPr="00C75451">
        <w:rPr>
          <w:sz w:val="28"/>
          <w:szCs w:val="28"/>
        </w:rPr>
        <w:t xml:space="preserve"> with Trevor Cook or the Martinez family.</w:t>
      </w:r>
      <w:r w:rsidR="00F445E6" w:rsidRPr="00C75451">
        <w:rPr>
          <w:sz w:val="28"/>
          <w:szCs w:val="28"/>
        </w:rPr>
        <w:t xml:space="preserve">  No one could reasonably conclude </w:t>
      </w:r>
      <w:r w:rsidR="00E51D52" w:rsidRPr="00C75451">
        <w:rPr>
          <w:sz w:val="28"/>
          <w:szCs w:val="28"/>
        </w:rPr>
        <w:t>to the contrary based on any fact, suspicion or otherwise.</w:t>
      </w:r>
    </w:p>
    <w:p w:rsidR="00976149" w:rsidRDefault="00C43CB4" w:rsidP="00AF0A5E">
      <w:pPr>
        <w:jc w:val="both"/>
        <w:rPr>
          <w:b/>
          <w:sz w:val="28"/>
          <w:szCs w:val="28"/>
          <w:u w:val="single"/>
        </w:rPr>
      </w:pPr>
      <w:r w:rsidRPr="00C43CB4">
        <w:rPr>
          <w:b/>
          <w:sz w:val="28"/>
          <w:szCs w:val="28"/>
          <w:u w:val="single"/>
        </w:rPr>
        <w:t>S</w:t>
      </w:r>
      <w:r w:rsidR="00F572B3">
        <w:rPr>
          <w:b/>
          <w:sz w:val="28"/>
          <w:szCs w:val="28"/>
          <w:u w:val="single"/>
        </w:rPr>
        <w:t xml:space="preserve">ummary of </w:t>
      </w:r>
      <w:r w:rsidR="00A237E5">
        <w:rPr>
          <w:b/>
          <w:sz w:val="28"/>
          <w:szCs w:val="28"/>
          <w:u w:val="single"/>
        </w:rPr>
        <w:t xml:space="preserve">Facts and </w:t>
      </w:r>
      <w:r w:rsidR="00F572B3">
        <w:rPr>
          <w:b/>
          <w:sz w:val="28"/>
          <w:szCs w:val="28"/>
          <w:u w:val="single"/>
        </w:rPr>
        <w:t>Answer</w:t>
      </w:r>
    </w:p>
    <w:p w:rsidR="00637589" w:rsidRDefault="00637589" w:rsidP="00AF0A5E">
      <w:pPr>
        <w:jc w:val="both"/>
        <w:rPr>
          <w:b/>
          <w:sz w:val="28"/>
          <w:szCs w:val="28"/>
          <w:u w:val="single"/>
        </w:rPr>
      </w:pPr>
    </w:p>
    <w:p w:rsidR="00915119" w:rsidRPr="00944B44" w:rsidRDefault="00682EFB" w:rsidP="00AF0A5E">
      <w:pPr>
        <w:pStyle w:val="ListParagraph"/>
        <w:numPr>
          <w:ilvl w:val="0"/>
          <w:numId w:val="13"/>
        </w:numPr>
        <w:spacing w:line="480" w:lineRule="auto"/>
        <w:ind w:left="0" w:firstLine="720"/>
        <w:contextualSpacing w:val="0"/>
        <w:jc w:val="both"/>
        <w:rPr>
          <w:sz w:val="28"/>
          <w:szCs w:val="28"/>
        </w:rPr>
      </w:pPr>
      <w:r>
        <w:rPr>
          <w:sz w:val="28"/>
          <w:szCs w:val="28"/>
        </w:rPr>
        <w:t xml:space="preserve">The NFA </w:t>
      </w:r>
      <w:r w:rsidR="00F45A48">
        <w:rPr>
          <w:sz w:val="28"/>
          <w:szCs w:val="28"/>
        </w:rPr>
        <w:t xml:space="preserve">alleges </w:t>
      </w:r>
      <w:r w:rsidR="00EF2CC2">
        <w:rPr>
          <w:b/>
          <w:sz w:val="28"/>
          <w:szCs w:val="28"/>
        </w:rPr>
        <w:t>(1</w:t>
      </w:r>
      <w:r w:rsidR="00F45A48" w:rsidRPr="00685BF3">
        <w:rPr>
          <w:b/>
          <w:sz w:val="28"/>
          <w:szCs w:val="28"/>
        </w:rPr>
        <w:t>)</w:t>
      </w:r>
      <w:r w:rsidR="00F45A48">
        <w:rPr>
          <w:sz w:val="28"/>
          <w:szCs w:val="28"/>
        </w:rPr>
        <w:t xml:space="preserve"> </w:t>
      </w:r>
      <w:r>
        <w:rPr>
          <w:sz w:val="28"/>
          <w:szCs w:val="28"/>
        </w:rPr>
        <w:t>ILQ, Jason Tanner and Mark Krier fail</w:t>
      </w:r>
      <w:r w:rsidR="00F45A48">
        <w:rPr>
          <w:sz w:val="28"/>
          <w:szCs w:val="28"/>
        </w:rPr>
        <w:t xml:space="preserve">ed </w:t>
      </w:r>
      <w:proofErr w:type="gramStart"/>
      <w:r>
        <w:rPr>
          <w:sz w:val="28"/>
          <w:szCs w:val="28"/>
        </w:rPr>
        <w:t>to</w:t>
      </w:r>
      <w:r w:rsidR="00297F19">
        <w:rPr>
          <w:sz w:val="28"/>
          <w:szCs w:val="28"/>
        </w:rPr>
        <w:t xml:space="preserve"> </w:t>
      </w:r>
      <w:r w:rsidR="00446B50">
        <w:rPr>
          <w:sz w:val="28"/>
          <w:szCs w:val="28"/>
        </w:rPr>
        <w:t xml:space="preserve">timely </w:t>
      </w:r>
      <w:r>
        <w:rPr>
          <w:sz w:val="28"/>
          <w:szCs w:val="28"/>
        </w:rPr>
        <w:t>cooperate</w:t>
      </w:r>
      <w:proofErr w:type="gramEnd"/>
      <w:r w:rsidR="00F56A09">
        <w:rPr>
          <w:sz w:val="28"/>
          <w:szCs w:val="28"/>
        </w:rPr>
        <w:t xml:space="preserve"> in an NFA investigation and </w:t>
      </w:r>
      <w:r w:rsidR="00EF2CC2">
        <w:rPr>
          <w:b/>
          <w:sz w:val="28"/>
          <w:szCs w:val="28"/>
        </w:rPr>
        <w:t>(2</w:t>
      </w:r>
      <w:r w:rsidR="00F45A48" w:rsidRPr="00685BF3">
        <w:rPr>
          <w:b/>
          <w:sz w:val="28"/>
          <w:szCs w:val="28"/>
        </w:rPr>
        <w:t>)</w:t>
      </w:r>
      <w:r w:rsidR="00F45A48">
        <w:rPr>
          <w:sz w:val="28"/>
          <w:szCs w:val="28"/>
        </w:rPr>
        <w:t xml:space="preserve"> </w:t>
      </w:r>
      <w:r w:rsidR="00F56A09">
        <w:rPr>
          <w:sz w:val="28"/>
          <w:szCs w:val="28"/>
        </w:rPr>
        <w:t>James Pieron fail</w:t>
      </w:r>
      <w:r w:rsidR="00F45A48">
        <w:rPr>
          <w:sz w:val="28"/>
          <w:szCs w:val="28"/>
        </w:rPr>
        <w:t xml:space="preserve">ed </w:t>
      </w:r>
      <w:r w:rsidR="00F56A09">
        <w:rPr>
          <w:sz w:val="28"/>
          <w:szCs w:val="28"/>
        </w:rPr>
        <w:t xml:space="preserve">to supervise </w:t>
      </w:r>
      <w:r w:rsidR="005A3F9A">
        <w:rPr>
          <w:sz w:val="28"/>
          <w:szCs w:val="28"/>
        </w:rPr>
        <w:t xml:space="preserve">to assure cooperation in the NFA investigation.  </w:t>
      </w:r>
      <w:r w:rsidR="0063061B">
        <w:rPr>
          <w:sz w:val="28"/>
          <w:szCs w:val="28"/>
        </w:rPr>
        <w:t>The</w:t>
      </w:r>
      <w:r w:rsidR="00F45A48">
        <w:rPr>
          <w:sz w:val="28"/>
          <w:szCs w:val="28"/>
        </w:rPr>
        <w:t xml:space="preserve"> allegations are </w:t>
      </w:r>
      <w:r w:rsidR="00F45A48" w:rsidRPr="00206068">
        <w:rPr>
          <w:b/>
          <w:sz w:val="28"/>
          <w:szCs w:val="28"/>
        </w:rPr>
        <w:t>unfounded</w:t>
      </w:r>
      <w:r w:rsidR="00F45A48">
        <w:rPr>
          <w:sz w:val="28"/>
          <w:szCs w:val="28"/>
        </w:rPr>
        <w:t>.</w:t>
      </w:r>
      <w:r w:rsidR="0063061B">
        <w:rPr>
          <w:sz w:val="28"/>
          <w:szCs w:val="28"/>
        </w:rPr>
        <w:t xml:space="preserve"> </w:t>
      </w:r>
    </w:p>
    <w:p w:rsidR="004E7779" w:rsidRDefault="007F064A" w:rsidP="00AF0A5E">
      <w:pPr>
        <w:pStyle w:val="ListParagraph"/>
        <w:numPr>
          <w:ilvl w:val="0"/>
          <w:numId w:val="13"/>
        </w:numPr>
        <w:spacing w:after="240" w:line="480" w:lineRule="auto"/>
        <w:ind w:left="0" w:firstLine="720"/>
        <w:jc w:val="both"/>
        <w:rPr>
          <w:sz w:val="28"/>
          <w:szCs w:val="28"/>
        </w:rPr>
      </w:pPr>
      <w:r w:rsidRPr="004E7779">
        <w:rPr>
          <w:sz w:val="28"/>
          <w:szCs w:val="28"/>
        </w:rPr>
        <w:t>T</w:t>
      </w:r>
      <w:r w:rsidR="00E41666" w:rsidRPr="004E7779">
        <w:rPr>
          <w:sz w:val="28"/>
          <w:szCs w:val="28"/>
        </w:rPr>
        <w:t>he defense</w:t>
      </w:r>
      <w:r w:rsidR="000B3093" w:rsidRPr="004E7779">
        <w:rPr>
          <w:sz w:val="28"/>
          <w:szCs w:val="28"/>
        </w:rPr>
        <w:t>s</w:t>
      </w:r>
      <w:r w:rsidR="00E41666" w:rsidRPr="004E7779">
        <w:rPr>
          <w:sz w:val="28"/>
          <w:szCs w:val="28"/>
        </w:rPr>
        <w:t xml:space="preserve"> to the NFA claims </w:t>
      </w:r>
      <w:r w:rsidR="000B3093" w:rsidRPr="004E7779">
        <w:rPr>
          <w:sz w:val="28"/>
          <w:szCs w:val="28"/>
        </w:rPr>
        <w:t>are</w:t>
      </w:r>
      <w:r w:rsidR="001C3FA4" w:rsidRPr="004E7779">
        <w:rPr>
          <w:sz w:val="28"/>
          <w:szCs w:val="28"/>
        </w:rPr>
        <w:t>:</w:t>
      </w:r>
    </w:p>
    <w:p w:rsidR="0069565F" w:rsidRDefault="001C3FA4" w:rsidP="00AF0A5E">
      <w:pPr>
        <w:pStyle w:val="ListParagraph"/>
        <w:numPr>
          <w:ilvl w:val="0"/>
          <w:numId w:val="13"/>
        </w:numPr>
        <w:spacing w:after="240" w:line="480" w:lineRule="auto"/>
        <w:ind w:left="0" w:firstLine="720"/>
        <w:jc w:val="both"/>
        <w:rPr>
          <w:sz w:val="28"/>
          <w:szCs w:val="28"/>
        </w:rPr>
      </w:pPr>
      <w:r w:rsidRPr="004E7779">
        <w:rPr>
          <w:b/>
          <w:sz w:val="28"/>
          <w:szCs w:val="28"/>
        </w:rPr>
        <w:t>First</w:t>
      </w:r>
      <w:r w:rsidRPr="004E7779">
        <w:rPr>
          <w:sz w:val="28"/>
          <w:szCs w:val="28"/>
        </w:rPr>
        <w:t xml:space="preserve">, </w:t>
      </w:r>
      <w:r w:rsidR="00747372">
        <w:rPr>
          <w:sz w:val="28"/>
          <w:szCs w:val="28"/>
        </w:rPr>
        <w:t>the NFA has known ILQ, Pieron</w:t>
      </w:r>
      <w:r w:rsidR="00FB7175">
        <w:rPr>
          <w:sz w:val="28"/>
          <w:szCs w:val="28"/>
        </w:rPr>
        <w:t xml:space="preserve"> and HA/HMcP</w:t>
      </w:r>
      <w:r w:rsidR="00747372">
        <w:rPr>
          <w:sz w:val="28"/>
          <w:szCs w:val="28"/>
        </w:rPr>
        <w:t xml:space="preserve"> since 2010, and </w:t>
      </w:r>
      <w:r w:rsidR="00DC7B01">
        <w:rPr>
          <w:sz w:val="28"/>
          <w:szCs w:val="28"/>
        </w:rPr>
        <w:t xml:space="preserve">has </w:t>
      </w:r>
      <w:r w:rsidR="00747372">
        <w:rPr>
          <w:sz w:val="28"/>
          <w:szCs w:val="28"/>
        </w:rPr>
        <w:t xml:space="preserve">known Tanner and Krier </w:t>
      </w:r>
      <w:r w:rsidR="00DC7B01">
        <w:rPr>
          <w:sz w:val="28"/>
          <w:szCs w:val="28"/>
        </w:rPr>
        <w:t xml:space="preserve">since </w:t>
      </w:r>
      <w:r w:rsidR="00747372">
        <w:rPr>
          <w:sz w:val="28"/>
          <w:szCs w:val="28"/>
        </w:rPr>
        <w:t>each</w:t>
      </w:r>
      <w:r w:rsidR="00433751">
        <w:rPr>
          <w:sz w:val="28"/>
          <w:szCs w:val="28"/>
        </w:rPr>
        <w:t xml:space="preserve"> became NFA employees in 2007.  </w:t>
      </w:r>
      <w:r w:rsidR="00747372">
        <w:rPr>
          <w:sz w:val="28"/>
          <w:szCs w:val="28"/>
        </w:rPr>
        <w:t xml:space="preserve">Pieron </w:t>
      </w:r>
      <w:r w:rsidR="008A3F5B">
        <w:rPr>
          <w:sz w:val="28"/>
          <w:szCs w:val="28"/>
        </w:rPr>
        <w:t>also is an owner</w:t>
      </w:r>
      <w:r w:rsidR="00747372">
        <w:rPr>
          <w:sz w:val="28"/>
          <w:szCs w:val="28"/>
        </w:rPr>
        <w:t xml:space="preserve"> and principal of ILQ</w:t>
      </w:r>
      <w:r w:rsidR="00DC7B01">
        <w:rPr>
          <w:sz w:val="28"/>
          <w:szCs w:val="28"/>
        </w:rPr>
        <w:t xml:space="preserve">.  </w:t>
      </w:r>
      <w:r w:rsidR="00747372">
        <w:rPr>
          <w:sz w:val="28"/>
          <w:szCs w:val="28"/>
        </w:rPr>
        <w:t xml:space="preserve">  </w:t>
      </w:r>
    </w:p>
    <w:p w:rsidR="004E7779" w:rsidRPr="00A96B78" w:rsidRDefault="00DC7B01" w:rsidP="00AF0A5E">
      <w:pPr>
        <w:pStyle w:val="ListParagraph"/>
        <w:numPr>
          <w:ilvl w:val="0"/>
          <w:numId w:val="13"/>
        </w:numPr>
        <w:spacing w:after="240" w:line="480" w:lineRule="auto"/>
        <w:ind w:left="0" w:firstLine="720"/>
        <w:jc w:val="both"/>
        <w:rPr>
          <w:b/>
          <w:sz w:val="28"/>
          <w:szCs w:val="28"/>
        </w:rPr>
      </w:pPr>
      <w:r w:rsidRPr="00DC7B01">
        <w:rPr>
          <w:b/>
          <w:sz w:val="28"/>
          <w:szCs w:val="28"/>
        </w:rPr>
        <w:t>Second</w:t>
      </w:r>
      <w:r>
        <w:rPr>
          <w:sz w:val="28"/>
          <w:szCs w:val="28"/>
        </w:rPr>
        <w:t xml:space="preserve">, </w:t>
      </w:r>
      <w:r w:rsidR="00C84D8C" w:rsidRPr="004E7779">
        <w:rPr>
          <w:sz w:val="28"/>
          <w:szCs w:val="28"/>
        </w:rPr>
        <w:t>on March 18, 2013</w:t>
      </w:r>
      <w:r w:rsidR="0069565F">
        <w:rPr>
          <w:sz w:val="28"/>
          <w:szCs w:val="28"/>
        </w:rPr>
        <w:t>,</w:t>
      </w:r>
      <w:r w:rsidR="00C84D8C" w:rsidRPr="004E7779">
        <w:rPr>
          <w:sz w:val="28"/>
          <w:szCs w:val="28"/>
        </w:rPr>
        <w:t xml:space="preserve"> </w:t>
      </w:r>
      <w:r w:rsidR="001C3FA4" w:rsidRPr="004E7779">
        <w:rPr>
          <w:sz w:val="28"/>
          <w:szCs w:val="28"/>
        </w:rPr>
        <w:t xml:space="preserve">the NFA requested financial information as to </w:t>
      </w:r>
      <w:r w:rsidR="005F6846">
        <w:rPr>
          <w:sz w:val="28"/>
          <w:szCs w:val="28"/>
        </w:rPr>
        <w:t>HA/HMcP</w:t>
      </w:r>
      <w:r>
        <w:rPr>
          <w:sz w:val="28"/>
          <w:szCs w:val="28"/>
        </w:rPr>
        <w:t xml:space="preserve"> and ILQ.</w:t>
      </w:r>
      <w:r w:rsidR="00433751">
        <w:rPr>
          <w:sz w:val="28"/>
          <w:szCs w:val="28"/>
        </w:rPr>
        <w:t xml:space="preserve"> </w:t>
      </w:r>
      <w:r>
        <w:rPr>
          <w:b/>
          <w:sz w:val="28"/>
          <w:szCs w:val="28"/>
        </w:rPr>
        <w:t>Third</w:t>
      </w:r>
      <w:r w:rsidR="001C3FA4" w:rsidRPr="004E7779">
        <w:rPr>
          <w:sz w:val="28"/>
          <w:szCs w:val="28"/>
        </w:rPr>
        <w:t xml:space="preserve">, </w:t>
      </w:r>
      <w:r w:rsidR="000B3093" w:rsidRPr="004E7779">
        <w:rPr>
          <w:sz w:val="28"/>
          <w:szCs w:val="28"/>
        </w:rPr>
        <w:t>within 24 hours</w:t>
      </w:r>
      <w:r w:rsidR="00D60592" w:rsidRPr="004E7779">
        <w:rPr>
          <w:sz w:val="28"/>
          <w:szCs w:val="28"/>
        </w:rPr>
        <w:t>,</w:t>
      </w:r>
      <w:r w:rsidR="000B3093" w:rsidRPr="004E7779">
        <w:rPr>
          <w:sz w:val="28"/>
          <w:szCs w:val="28"/>
        </w:rPr>
        <w:t xml:space="preserve"> the information as to ILQ was </w:t>
      </w:r>
      <w:r w:rsidR="000B3093" w:rsidRPr="004E7779">
        <w:rPr>
          <w:b/>
          <w:sz w:val="28"/>
          <w:szCs w:val="28"/>
        </w:rPr>
        <w:t>produced</w:t>
      </w:r>
      <w:r w:rsidR="000B3093" w:rsidRPr="004E7779">
        <w:rPr>
          <w:sz w:val="28"/>
          <w:szCs w:val="28"/>
        </w:rPr>
        <w:t xml:space="preserve"> to the NFA.  </w:t>
      </w:r>
      <w:r>
        <w:rPr>
          <w:b/>
          <w:sz w:val="28"/>
          <w:szCs w:val="28"/>
        </w:rPr>
        <w:t>Fourth</w:t>
      </w:r>
      <w:r w:rsidR="000B3093" w:rsidRPr="004E7779">
        <w:rPr>
          <w:sz w:val="28"/>
          <w:szCs w:val="28"/>
        </w:rPr>
        <w:t xml:space="preserve">, </w:t>
      </w:r>
      <w:r>
        <w:rPr>
          <w:sz w:val="28"/>
          <w:szCs w:val="28"/>
        </w:rPr>
        <w:t xml:space="preserve">while </w:t>
      </w:r>
      <w:r w:rsidR="00C7310F">
        <w:rPr>
          <w:sz w:val="28"/>
          <w:szCs w:val="28"/>
        </w:rPr>
        <w:t xml:space="preserve">cooperating with </w:t>
      </w:r>
      <w:r>
        <w:rPr>
          <w:sz w:val="28"/>
          <w:szCs w:val="28"/>
        </w:rPr>
        <w:t xml:space="preserve">the NFA, </w:t>
      </w:r>
      <w:r w:rsidR="00412CBD" w:rsidRPr="004E7779">
        <w:rPr>
          <w:sz w:val="28"/>
          <w:szCs w:val="28"/>
        </w:rPr>
        <w:t xml:space="preserve">the respondents </w:t>
      </w:r>
      <w:r w:rsidR="00412CBD" w:rsidRPr="004E7779">
        <w:rPr>
          <w:sz w:val="28"/>
          <w:szCs w:val="28"/>
        </w:rPr>
        <w:lastRenderedPageBreak/>
        <w:t xml:space="preserve">could not produce the information as to </w:t>
      </w:r>
      <w:r w:rsidR="00103150">
        <w:rPr>
          <w:sz w:val="28"/>
          <w:szCs w:val="28"/>
        </w:rPr>
        <w:t xml:space="preserve">HA/HMcP </w:t>
      </w:r>
      <w:r w:rsidR="00412CBD" w:rsidRPr="004E7779">
        <w:rPr>
          <w:sz w:val="28"/>
          <w:szCs w:val="28"/>
        </w:rPr>
        <w:t xml:space="preserve">since </w:t>
      </w:r>
      <w:r w:rsidR="001C3FA4" w:rsidRPr="004E7779">
        <w:rPr>
          <w:b/>
          <w:sz w:val="28"/>
          <w:szCs w:val="28"/>
        </w:rPr>
        <w:t xml:space="preserve">none </w:t>
      </w:r>
      <w:r w:rsidR="001C3FA4" w:rsidRPr="00597944">
        <w:rPr>
          <w:sz w:val="28"/>
          <w:szCs w:val="28"/>
        </w:rPr>
        <w:t xml:space="preserve">of the </w:t>
      </w:r>
      <w:r w:rsidR="000B3093" w:rsidRPr="00597944">
        <w:rPr>
          <w:sz w:val="28"/>
          <w:szCs w:val="28"/>
        </w:rPr>
        <w:t>four</w:t>
      </w:r>
      <w:r w:rsidR="000B3093" w:rsidRPr="004E7779">
        <w:rPr>
          <w:b/>
          <w:sz w:val="28"/>
          <w:szCs w:val="28"/>
        </w:rPr>
        <w:t xml:space="preserve"> </w:t>
      </w:r>
      <w:r w:rsidR="001C3FA4" w:rsidRPr="004E7779">
        <w:rPr>
          <w:b/>
          <w:sz w:val="28"/>
          <w:szCs w:val="28"/>
        </w:rPr>
        <w:t>had</w:t>
      </w:r>
      <w:r w:rsidR="001C3FA4" w:rsidRPr="004E7779">
        <w:rPr>
          <w:sz w:val="28"/>
          <w:szCs w:val="28"/>
        </w:rPr>
        <w:t xml:space="preserve"> </w:t>
      </w:r>
      <w:r w:rsidR="000B3093" w:rsidRPr="00597944">
        <w:rPr>
          <w:b/>
          <w:sz w:val="28"/>
          <w:szCs w:val="28"/>
          <w:u w:val="single"/>
        </w:rPr>
        <w:t>possession</w:t>
      </w:r>
      <w:r w:rsidR="000B3093" w:rsidRPr="004E7779">
        <w:rPr>
          <w:b/>
          <w:sz w:val="28"/>
          <w:szCs w:val="28"/>
        </w:rPr>
        <w:t xml:space="preserve">, </w:t>
      </w:r>
      <w:r w:rsidR="000B3093" w:rsidRPr="00597944">
        <w:rPr>
          <w:b/>
          <w:sz w:val="28"/>
          <w:szCs w:val="28"/>
          <w:u w:val="single"/>
        </w:rPr>
        <w:t>custody</w:t>
      </w:r>
      <w:r w:rsidR="000B3093" w:rsidRPr="004E7779">
        <w:rPr>
          <w:b/>
          <w:sz w:val="28"/>
          <w:szCs w:val="28"/>
        </w:rPr>
        <w:t xml:space="preserve"> </w:t>
      </w:r>
      <w:r w:rsidR="000B3093" w:rsidRPr="00597944">
        <w:rPr>
          <w:b/>
          <w:sz w:val="28"/>
          <w:szCs w:val="28"/>
          <w:u w:val="single"/>
        </w:rPr>
        <w:t>or</w:t>
      </w:r>
      <w:r w:rsidR="000B3093" w:rsidRPr="004E7779">
        <w:rPr>
          <w:b/>
          <w:sz w:val="28"/>
          <w:szCs w:val="28"/>
        </w:rPr>
        <w:t xml:space="preserve"> </w:t>
      </w:r>
      <w:r w:rsidR="000B3093" w:rsidRPr="00597944">
        <w:rPr>
          <w:b/>
          <w:sz w:val="28"/>
          <w:szCs w:val="28"/>
          <w:u w:val="single"/>
        </w:rPr>
        <w:t>control</w:t>
      </w:r>
      <w:r w:rsidR="000B3093" w:rsidRPr="004E7779">
        <w:rPr>
          <w:sz w:val="28"/>
          <w:szCs w:val="28"/>
        </w:rPr>
        <w:t xml:space="preserve"> of the </w:t>
      </w:r>
      <w:r w:rsidR="001C3FA4" w:rsidRPr="004E7779">
        <w:rPr>
          <w:sz w:val="28"/>
          <w:szCs w:val="28"/>
        </w:rPr>
        <w:t>requested information</w:t>
      </w:r>
      <w:r w:rsidR="000B3093" w:rsidRPr="004E7779">
        <w:rPr>
          <w:sz w:val="28"/>
          <w:szCs w:val="28"/>
        </w:rPr>
        <w:t xml:space="preserve">.  The respondents </w:t>
      </w:r>
      <w:r w:rsidR="001C3FA4" w:rsidRPr="004E7779">
        <w:rPr>
          <w:sz w:val="28"/>
          <w:szCs w:val="28"/>
        </w:rPr>
        <w:t xml:space="preserve">were </w:t>
      </w:r>
      <w:r w:rsidR="00206068" w:rsidRPr="0069565F">
        <w:rPr>
          <w:b/>
          <w:sz w:val="28"/>
          <w:szCs w:val="28"/>
        </w:rPr>
        <w:t>not</w:t>
      </w:r>
      <w:r w:rsidR="00206068" w:rsidRPr="004E7779">
        <w:rPr>
          <w:sz w:val="28"/>
          <w:szCs w:val="28"/>
        </w:rPr>
        <w:t xml:space="preserve"> employees or control persons of </w:t>
      </w:r>
      <w:r w:rsidR="009F1EBC">
        <w:rPr>
          <w:sz w:val="28"/>
          <w:szCs w:val="28"/>
        </w:rPr>
        <w:t>HA/HMcP</w:t>
      </w:r>
      <w:r>
        <w:rPr>
          <w:sz w:val="28"/>
          <w:szCs w:val="28"/>
        </w:rPr>
        <w:t xml:space="preserve">.  </w:t>
      </w:r>
      <w:r w:rsidR="00E561B8" w:rsidRPr="00A96B78">
        <w:rPr>
          <w:b/>
          <w:sz w:val="28"/>
          <w:szCs w:val="28"/>
        </w:rPr>
        <w:t xml:space="preserve">Only </w:t>
      </w:r>
      <w:r w:rsidR="009F1EBC" w:rsidRPr="00A96B78">
        <w:rPr>
          <w:b/>
          <w:sz w:val="28"/>
          <w:szCs w:val="28"/>
        </w:rPr>
        <w:t xml:space="preserve">HMcP </w:t>
      </w:r>
      <w:r w:rsidR="00E561B8" w:rsidRPr="00A96B78">
        <w:rPr>
          <w:b/>
          <w:sz w:val="28"/>
          <w:szCs w:val="28"/>
        </w:rPr>
        <w:t>controlled th</w:t>
      </w:r>
      <w:r w:rsidR="008719D9" w:rsidRPr="00A96B78">
        <w:rPr>
          <w:b/>
          <w:sz w:val="28"/>
          <w:szCs w:val="28"/>
        </w:rPr>
        <w:t xml:space="preserve">e requested </w:t>
      </w:r>
      <w:r w:rsidR="00E561B8" w:rsidRPr="00A96B78">
        <w:rPr>
          <w:b/>
          <w:sz w:val="28"/>
          <w:szCs w:val="28"/>
        </w:rPr>
        <w:t>information</w:t>
      </w:r>
      <w:r w:rsidR="00206068" w:rsidRPr="00A96B78">
        <w:rPr>
          <w:b/>
          <w:sz w:val="28"/>
          <w:szCs w:val="28"/>
        </w:rPr>
        <w:t xml:space="preserve">. </w:t>
      </w:r>
    </w:p>
    <w:p w:rsidR="00C07283" w:rsidRDefault="000B3093" w:rsidP="00AF0A5E">
      <w:pPr>
        <w:pStyle w:val="ListParagraph"/>
        <w:numPr>
          <w:ilvl w:val="0"/>
          <w:numId w:val="13"/>
        </w:numPr>
        <w:spacing w:after="240" w:line="480" w:lineRule="auto"/>
        <w:ind w:left="0" w:firstLine="720"/>
        <w:jc w:val="both"/>
        <w:rPr>
          <w:sz w:val="28"/>
          <w:szCs w:val="28"/>
        </w:rPr>
      </w:pPr>
      <w:r w:rsidRPr="004E7779">
        <w:rPr>
          <w:b/>
          <w:sz w:val="28"/>
          <w:szCs w:val="28"/>
        </w:rPr>
        <w:t>F</w:t>
      </w:r>
      <w:r w:rsidR="0069565F">
        <w:rPr>
          <w:b/>
          <w:sz w:val="28"/>
          <w:szCs w:val="28"/>
        </w:rPr>
        <w:t>ifth</w:t>
      </w:r>
      <w:r w:rsidRPr="004E7779">
        <w:rPr>
          <w:sz w:val="28"/>
          <w:szCs w:val="28"/>
        </w:rPr>
        <w:t xml:space="preserve">, </w:t>
      </w:r>
      <w:r w:rsidR="00206068" w:rsidRPr="004E7779">
        <w:rPr>
          <w:sz w:val="28"/>
          <w:szCs w:val="28"/>
        </w:rPr>
        <w:t xml:space="preserve">the respondents were </w:t>
      </w:r>
      <w:r w:rsidR="001C3FA4" w:rsidRPr="004E7779">
        <w:rPr>
          <w:b/>
          <w:sz w:val="28"/>
          <w:szCs w:val="28"/>
        </w:rPr>
        <w:t>conduits</w:t>
      </w:r>
      <w:r w:rsidR="009B2E3B" w:rsidRPr="004E7779">
        <w:rPr>
          <w:sz w:val="28"/>
          <w:szCs w:val="28"/>
        </w:rPr>
        <w:t xml:space="preserve"> </w:t>
      </w:r>
      <w:r w:rsidR="00206068" w:rsidRPr="004E7779">
        <w:rPr>
          <w:sz w:val="28"/>
          <w:szCs w:val="28"/>
        </w:rPr>
        <w:t xml:space="preserve">of communications </w:t>
      </w:r>
      <w:r w:rsidR="009B2E3B" w:rsidRPr="004E7779">
        <w:rPr>
          <w:sz w:val="28"/>
          <w:szCs w:val="28"/>
        </w:rPr>
        <w:t xml:space="preserve">between the NFA and </w:t>
      </w:r>
      <w:r w:rsidR="00F43060">
        <w:rPr>
          <w:sz w:val="28"/>
          <w:szCs w:val="28"/>
        </w:rPr>
        <w:t xml:space="preserve">HMcP </w:t>
      </w:r>
      <w:r w:rsidR="0069565F">
        <w:rPr>
          <w:sz w:val="28"/>
          <w:szCs w:val="28"/>
        </w:rPr>
        <w:t xml:space="preserve">and his </w:t>
      </w:r>
      <w:r w:rsidR="00C5255F">
        <w:rPr>
          <w:sz w:val="28"/>
          <w:szCs w:val="28"/>
        </w:rPr>
        <w:t xml:space="preserve">senior executive, </w:t>
      </w:r>
      <w:r w:rsidR="001422B8" w:rsidRPr="004E7779">
        <w:rPr>
          <w:sz w:val="28"/>
          <w:szCs w:val="28"/>
        </w:rPr>
        <w:t xml:space="preserve">Craig </w:t>
      </w:r>
      <w:proofErr w:type="spellStart"/>
      <w:r w:rsidR="001422B8" w:rsidRPr="004E7779">
        <w:rPr>
          <w:sz w:val="28"/>
          <w:szCs w:val="28"/>
        </w:rPr>
        <w:t>Mawdsley</w:t>
      </w:r>
      <w:proofErr w:type="spellEnd"/>
      <w:r w:rsidR="0069565F">
        <w:rPr>
          <w:sz w:val="28"/>
          <w:szCs w:val="28"/>
        </w:rPr>
        <w:t>.  B</w:t>
      </w:r>
      <w:r w:rsidR="00C84D8C" w:rsidRPr="004E7779">
        <w:rPr>
          <w:sz w:val="28"/>
          <w:szCs w:val="28"/>
        </w:rPr>
        <w:t xml:space="preserve">eginning on March 25, 2013 </w:t>
      </w:r>
      <w:r w:rsidR="00567EA2" w:rsidRPr="004E7779">
        <w:rPr>
          <w:sz w:val="28"/>
          <w:szCs w:val="28"/>
        </w:rPr>
        <w:t xml:space="preserve">and continuing until September </w:t>
      </w:r>
      <w:r w:rsidR="00F334D4" w:rsidRPr="004E7779">
        <w:rPr>
          <w:sz w:val="28"/>
          <w:szCs w:val="28"/>
        </w:rPr>
        <w:t>the NFA</w:t>
      </w:r>
      <w:r w:rsidR="00966D1B" w:rsidRPr="004E7779">
        <w:rPr>
          <w:sz w:val="28"/>
          <w:szCs w:val="28"/>
        </w:rPr>
        <w:t xml:space="preserve"> </w:t>
      </w:r>
      <w:r w:rsidR="0017538A" w:rsidRPr="004E7779">
        <w:rPr>
          <w:sz w:val="28"/>
          <w:szCs w:val="28"/>
        </w:rPr>
        <w:t xml:space="preserve">had </w:t>
      </w:r>
      <w:r w:rsidR="00966D1B" w:rsidRPr="004E7779">
        <w:rPr>
          <w:b/>
          <w:sz w:val="28"/>
          <w:szCs w:val="28"/>
        </w:rPr>
        <w:t>written and oral communications</w:t>
      </w:r>
      <w:r w:rsidR="00966D1B" w:rsidRPr="004E7779">
        <w:rPr>
          <w:sz w:val="28"/>
          <w:szCs w:val="28"/>
        </w:rPr>
        <w:t xml:space="preserve"> with </w:t>
      </w:r>
      <w:r w:rsidR="00BC494A" w:rsidRPr="004E7779">
        <w:rPr>
          <w:sz w:val="28"/>
          <w:szCs w:val="28"/>
        </w:rPr>
        <w:t xml:space="preserve">Mawdsley </w:t>
      </w:r>
      <w:r w:rsidR="00966D1B" w:rsidRPr="004E7779">
        <w:rPr>
          <w:sz w:val="28"/>
          <w:szCs w:val="28"/>
        </w:rPr>
        <w:t xml:space="preserve">about the requested </w:t>
      </w:r>
      <w:r w:rsidR="00F43060">
        <w:rPr>
          <w:sz w:val="28"/>
          <w:szCs w:val="28"/>
        </w:rPr>
        <w:t>HMcP</w:t>
      </w:r>
      <w:r w:rsidR="00F43060" w:rsidRPr="004E7779">
        <w:rPr>
          <w:sz w:val="28"/>
          <w:szCs w:val="28"/>
        </w:rPr>
        <w:t xml:space="preserve"> </w:t>
      </w:r>
      <w:r w:rsidR="00966D1B" w:rsidRPr="004E7779">
        <w:rPr>
          <w:sz w:val="28"/>
          <w:szCs w:val="28"/>
        </w:rPr>
        <w:t>documents</w:t>
      </w:r>
      <w:r w:rsidR="001C3FA4" w:rsidRPr="004E7779">
        <w:rPr>
          <w:sz w:val="28"/>
          <w:szCs w:val="28"/>
        </w:rPr>
        <w:t xml:space="preserve">. </w:t>
      </w:r>
      <w:r w:rsidR="00D60592" w:rsidRPr="004E7779">
        <w:rPr>
          <w:sz w:val="28"/>
          <w:szCs w:val="28"/>
        </w:rPr>
        <w:t xml:space="preserve"> </w:t>
      </w:r>
      <w:r w:rsidR="007D15C0">
        <w:rPr>
          <w:b/>
          <w:sz w:val="28"/>
          <w:szCs w:val="28"/>
        </w:rPr>
        <w:t>Sixth</w:t>
      </w:r>
      <w:r w:rsidR="00206068" w:rsidRPr="004E7779">
        <w:rPr>
          <w:sz w:val="28"/>
          <w:szCs w:val="28"/>
        </w:rPr>
        <w:t xml:space="preserve">, </w:t>
      </w:r>
      <w:r w:rsidR="001C3FA4" w:rsidRPr="004E7779">
        <w:rPr>
          <w:sz w:val="28"/>
          <w:szCs w:val="28"/>
        </w:rPr>
        <w:t xml:space="preserve">Tanner and Krier </w:t>
      </w:r>
      <w:r w:rsidR="001422B8" w:rsidRPr="004E7779">
        <w:rPr>
          <w:sz w:val="28"/>
          <w:szCs w:val="28"/>
        </w:rPr>
        <w:t xml:space="preserve">facilitated </w:t>
      </w:r>
      <w:r w:rsidR="00EB7276" w:rsidRPr="004E7779">
        <w:rPr>
          <w:sz w:val="28"/>
          <w:szCs w:val="28"/>
        </w:rPr>
        <w:t xml:space="preserve">timely, </w:t>
      </w:r>
      <w:r w:rsidR="009B2E3B" w:rsidRPr="004E7779">
        <w:rPr>
          <w:sz w:val="28"/>
          <w:szCs w:val="28"/>
        </w:rPr>
        <w:t xml:space="preserve">good faith </w:t>
      </w:r>
      <w:r w:rsidR="00206068" w:rsidRPr="004E7779">
        <w:rPr>
          <w:sz w:val="28"/>
          <w:szCs w:val="28"/>
        </w:rPr>
        <w:t>discussions with the NFA</w:t>
      </w:r>
      <w:r w:rsidR="001422B8" w:rsidRPr="004E7779">
        <w:rPr>
          <w:sz w:val="28"/>
          <w:szCs w:val="28"/>
        </w:rPr>
        <w:t xml:space="preserve"> and Mawdsley</w:t>
      </w:r>
      <w:r w:rsidR="00CD7795" w:rsidRPr="004E7779">
        <w:rPr>
          <w:sz w:val="28"/>
          <w:szCs w:val="28"/>
        </w:rPr>
        <w:t xml:space="preserve"> </w:t>
      </w:r>
      <w:r w:rsidR="00E05ED3" w:rsidRPr="004E7779">
        <w:rPr>
          <w:sz w:val="28"/>
          <w:szCs w:val="28"/>
        </w:rPr>
        <w:t xml:space="preserve">to address </w:t>
      </w:r>
      <w:r w:rsidR="001422B8" w:rsidRPr="004E7779">
        <w:rPr>
          <w:sz w:val="28"/>
          <w:szCs w:val="28"/>
        </w:rPr>
        <w:t xml:space="preserve">the NFA’s </w:t>
      </w:r>
      <w:r w:rsidR="00E05ED3" w:rsidRPr="004E7779">
        <w:rPr>
          <w:sz w:val="28"/>
          <w:szCs w:val="28"/>
        </w:rPr>
        <w:t>request</w:t>
      </w:r>
      <w:r w:rsidR="009360BC" w:rsidRPr="004E7779">
        <w:rPr>
          <w:sz w:val="28"/>
          <w:szCs w:val="28"/>
        </w:rPr>
        <w:t xml:space="preserve">s of </w:t>
      </w:r>
      <w:r w:rsidR="00F43060">
        <w:rPr>
          <w:sz w:val="28"/>
          <w:szCs w:val="28"/>
        </w:rPr>
        <w:t>HMcP</w:t>
      </w:r>
      <w:r w:rsidR="00D948CE" w:rsidRPr="004E7779">
        <w:rPr>
          <w:sz w:val="28"/>
          <w:szCs w:val="28"/>
        </w:rPr>
        <w:t xml:space="preserve">.  </w:t>
      </w:r>
      <w:proofErr w:type="gramStart"/>
      <w:r w:rsidR="00D948CE" w:rsidRPr="004E7779">
        <w:rPr>
          <w:sz w:val="28"/>
          <w:szCs w:val="28"/>
        </w:rPr>
        <w:t>B</w:t>
      </w:r>
      <w:r w:rsidR="00567EA2" w:rsidRPr="004E7779">
        <w:rPr>
          <w:sz w:val="28"/>
          <w:szCs w:val="28"/>
        </w:rPr>
        <w:t>ut</w:t>
      </w:r>
      <w:proofErr w:type="gramEnd"/>
      <w:r w:rsidR="00567EA2" w:rsidRPr="004E7779">
        <w:rPr>
          <w:sz w:val="28"/>
          <w:szCs w:val="28"/>
        </w:rPr>
        <w:t xml:space="preserve"> at no time did they have the ability to produce the </w:t>
      </w:r>
      <w:r w:rsidR="00F43060">
        <w:rPr>
          <w:sz w:val="28"/>
          <w:szCs w:val="28"/>
        </w:rPr>
        <w:t>HMcP</w:t>
      </w:r>
      <w:r w:rsidR="00F43060" w:rsidRPr="004E7779">
        <w:rPr>
          <w:sz w:val="28"/>
          <w:szCs w:val="28"/>
        </w:rPr>
        <w:t xml:space="preserve"> </w:t>
      </w:r>
      <w:r w:rsidR="00567EA2" w:rsidRPr="004E7779">
        <w:rPr>
          <w:sz w:val="28"/>
          <w:szCs w:val="28"/>
        </w:rPr>
        <w:t>information to the NFA</w:t>
      </w:r>
      <w:r w:rsidR="00E05ED3" w:rsidRPr="004E7779">
        <w:rPr>
          <w:sz w:val="28"/>
          <w:szCs w:val="28"/>
        </w:rPr>
        <w:t>.</w:t>
      </w:r>
      <w:r w:rsidR="00C93A16" w:rsidRPr="004E7779">
        <w:rPr>
          <w:sz w:val="28"/>
          <w:szCs w:val="28"/>
        </w:rPr>
        <w:t xml:space="preserve">  Tanner and Krier</w:t>
      </w:r>
      <w:r w:rsidR="00FA6DFB" w:rsidRPr="004E7779">
        <w:rPr>
          <w:sz w:val="28"/>
          <w:szCs w:val="28"/>
        </w:rPr>
        <w:t xml:space="preserve"> took </w:t>
      </w:r>
      <w:r w:rsidR="00C93A16" w:rsidRPr="004E7779">
        <w:rPr>
          <w:b/>
          <w:sz w:val="28"/>
          <w:szCs w:val="28"/>
        </w:rPr>
        <w:t>all reasonable steps</w:t>
      </w:r>
      <w:r w:rsidR="00C93A16" w:rsidRPr="004E7779">
        <w:rPr>
          <w:sz w:val="28"/>
          <w:szCs w:val="28"/>
        </w:rPr>
        <w:t xml:space="preserve"> to </w:t>
      </w:r>
      <w:r w:rsidR="00FA6DFB" w:rsidRPr="004E7779">
        <w:rPr>
          <w:sz w:val="28"/>
          <w:szCs w:val="28"/>
        </w:rPr>
        <w:t>h</w:t>
      </w:r>
      <w:r w:rsidR="004E7779">
        <w:rPr>
          <w:sz w:val="28"/>
          <w:szCs w:val="28"/>
        </w:rPr>
        <w:t>elp the NFA achieve its objective</w:t>
      </w:r>
      <w:r w:rsidR="00F06898">
        <w:rPr>
          <w:sz w:val="28"/>
          <w:szCs w:val="28"/>
        </w:rPr>
        <w:t xml:space="preserve">.  </w:t>
      </w:r>
      <w:r w:rsidR="009360BC" w:rsidRPr="004E7779">
        <w:rPr>
          <w:b/>
          <w:sz w:val="28"/>
          <w:szCs w:val="28"/>
        </w:rPr>
        <w:t>S</w:t>
      </w:r>
      <w:r w:rsidR="007D15C0">
        <w:rPr>
          <w:b/>
          <w:sz w:val="28"/>
          <w:szCs w:val="28"/>
        </w:rPr>
        <w:t>even</w:t>
      </w:r>
      <w:r w:rsidR="009360BC" w:rsidRPr="004E7779">
        <w:rPr>
          <w:b/>
          <w:sz w:val="28"/>
          <w:szCs w:val="28"/>
        </w:rPr>
        <w:t>t</w:t>
      </w:r>
      <w:r w:rsidR="00206068" w:rsidRPr="004E7779">
        <w:rPr>
          <w:b/>
          <w:sz w:val="28"/>
          <w:szCs w:val="28"/>
        </w:rPr>
        <w:t>h</w:t>
      </w:r>
      <w:r w:rsidR="00E05ED3" w:rsidRPr="004E7779">
        <w:rPr>
          <w:sz w:val="28"/>
          <w:szCs w:val="28"/>
        </w:rPr>
        <w:t xml:space="preserve">, </w:t>
      </w:r>
      <w:r w:rsidR="007E2A13" w:rsidRPr="004E7779">
        <w:rPr>
          <w:sz w:val="28"/>
          <w:szCs w:val="28"/>
        </w:rPr>
        <w:t>given the respondents</w:t>
      </w:r>
      <w:r w:rsidR="002865AC" w:rsidRPr="004E7779">
        <w:rPr>
          <w:sz w:val="28"/>
          <w:szCs w:val="28"/>
        </w:rPr>
        <w:t>’</w:t>
      </w:r>
      <w:r w:rsidR="001422B8" w:rsidRPr="004E7779">
        <w:rPr>
          <w:sz w:val="28"/>
          <w:szCs w:val="28"/>
        </w:rPr>
        <w:t xml:space="preserve"> </w:t>
      </w:r>
      <w:r w:rsidR="001422B8" w:rsidRPr="00CB3D3F">
        <w:rPr>
          <w:b/>
          <w:sz w:val="28"/>
          <w:szCs w:val="28"/>
        </w:rPr>
        <w:t>lack of</w:t>
      </w:r>
      <w:r w:rsidR="001422B8" w:rsidRPr="004E7779">
        <w:rPr>
          <w:sz w:val="28"/>
          <w:szCs w:val="28"/>
        </w:rPr>
        <w:t xml:space="preserve"> possession, custody</w:t>
      </w:r>
      <w:r w:rsidR="00BC2775">
        <w:rPr>
          <w:sz w:val="28"/>
          <w:szCs w:val="28"/>
        </w:rPr>
        <w:t>,</w:t>
      </w:r>
      <w:r w:rsidR="001422B8" w:rsidRPr="004E7779">
        <w:rPr>
          <w:sz w:val="28"/>
          <w:szCs w:val="28"/>
        </w:rPr>
        <w:t xml:space="preserve"> or control of </w:t>
      </w:r>
      <w:r w:rsidR="007E2A13" w:rsidRPr="004E7779">
        <w:rPr>
          <w:sz w:val="28"/>
          <w:szCs w:val="28"/>
        </w:rPr>
        <w:t xml:space="preserve">the requested information, </w:t>
      </w:r>
      <w:r w:rsidR="005C15D8" w:rsidRPr="004E7779">
        <w:rPr>
          <w:sz w:val="28"/>
          <w:szCs w:val="28"/>
        </w:rPr>
        <w:t xml:space="preserve">on May 29, 2013 </w:t>
      </w:r>
      <w:r w:rsidR="00D60592" w:rsidRPr="004E7779">
        <w:rPr>
          <w:sz w:val="28"/>
          <w:szCs w:val="28"/>
        </w:rPr>
        <w:t xml:space="preserve">an </w:t>
      </w:r>
      <w:r w:rsidR="007E2A13" w:rsidRPr="004E7779">
        <w:rPr>
          <w:sz w:val="28"/>
          <w:szCs w:val="28"/>
        </w:rPr>
        <w:t xml:space="preserve">NFA </w:t>
      </w:r>
      <w:r w:rsidR="00D63567" w:rsidRPr="004E7779">
        <w:rPr>
          <w:sz w:val="28"/>
          <w:szCs w:val="28"/>
        </w:rPr>
        <w:t xml:space="preserve">Associate General Counsel, Ronald Hirst, </w:t>
      </w:r>
      <w:r w:rsidR="007E2A13" w:rsidRPr="004E7779">
        <w:rPr>
          <w:sz w:val="28"/>
          <w:szCs w:val="28"/>
        </w:rPr>
        <w:t xml:space="preserve">took up </w:t>
      </w:r>
      <w:r w:rsidR="009E3960" w:rsidRPr="004E7779">
        <w:rPr>
          <w:b/>
          <w:sz w:val="28"/>
          <w:szCs w:val="28"/>
        </w:rPr>
        <w:t xml:space="preserve">direct </w:t>
      </w:r>
      <w:r w:rsidR="007E2A13" w:rsidRPr="004E7779">
        <w:rPr>
          <w:b/>
          <w:sz w:val="28"/>
          <w:szCs w:val="28"/>
        </w:rPr>
        <w:t xml:space="preserve">negotiations with </w:t>
      </w:r>
      <w:r w:rsidR="00EB7276" w:rsidRPr="004E7779">
        <w:rPr>
          <w:b/>
          <w:sz w:val="28"/>
          <w:szCs w:val="28"/>
        </w:rPr>
        <w:t>Mawdsley</w:t>
      </w:r>
      <w:r w:rsidR="00E9409C" w:rsidRPr="004E7779">
        <w:rPr>
          <w:sz w:val="28"/>
          <w:szCs w:val="28"/>
        </w:rPr>
        <w:t xml:space="preserve"> as to the </w:t>
      </w:r>
      <w:r w:rsidR="005B362B" w:rsidRPr="004E7779">
        <w:rPr>
          <w:sz w:val="28"/>
          <w:szCs w:val="28"/>
        </w:rPr>
        <w:t xml:space="preserve">NFA’s </w:t>
      </w:r>
      <w:r w:rsidR="00E9409C" w:rsidRPr="004E7779">
        <w:rPr>
          <w:sz w:val="28"/>
          <w:szCs w:val="28"/>
        </w:rPr>
        <w:t>request</w:t>
      </w:r>
      <w:r w:rsidR="00387777" w:rsidRPr="004E7779">
        <w:rPr>
          <w:sz w:val="28"/>
          <w:szCs w:val="28"/>
        </w:rPr>
        <w:t>s</w:t>
      </w:r>
      <w:r w:rsidR="00685BF3" w:rsidRPr="004E7779">
        <w:rPr>
          <w:sz w:val="28"/>
          <w:szCs w:val="28"/>
        </w:rPr>
        <w:t xml:space="preserve">.  </w:t>
      </w:r>
    </w:p>
    <w:p w:rsidR="00C07283" w:rsidRDefault="007D15C0" w:rsidP="00AF0A5E">
      <w:pPr>
        <w:pStyle w:val="ListParagraph"/>
        <w:numPr>
          <w:ilvl w:val="0"/>
          <w:numId w:val="13"/>
        </w:numPr>
        <w:spacing w:after="240" w:line="480" w:lineRule="auto"/>
        <w:ind w:left="0" w:firstLine="720"/>
        <w:jc w:val="both"/>
        <w:rPr>
          <w:sz w:val="28"/>
          <w:szCs w:val="28"/>
        </w:rPr>
      </w:pPr>
      <w:r>
        <w:rPr>
          <w:b/>
          <w:sz w:val="28"/>
          <w:szCs w:val="28"/>
        </w:rPr>
        <w:t>Eighth</w:t>
      </w:r>
      <w:r w:rsidR="00206068" w:rsidRPr="004E7779">
        <w:rPr>
          <w:b/>
          <w:sz w:val="28"/>
          <w:szCs w:val="28"/>
        </w:rPr>
        <w:t xml:space="preserve">, </w:t>
      </w:r>
      <w:r w:rsidR="00672E16" w:rsidRPr="004E7779">
        <w:rPr>
          <w:sz w:val="28"/>
          <w:szCs w:val="28"/>
        </w:rPr>
        <w:t>an impasse</w:t>
      </w:r>
      <w:r w:rsidR="00672E16" w:rsidRPr="004E7779">
        <w:rPr>
          <w:b/>
          <w:sz w:val="28"/>
          <w:szCs w:val="28"/>
        </w:rPr>
        <w:t xml:space="preserve"> </w:t>
      </w:r>
      <w:r w:rsidR="00672E16" w:rsidRPr="004E7779">
        <w:rPr>
          <w:sz w:val="28"/>
          <w:szCs w:val="28"/>
        </w:rPr>
        <w:t>occurred in the negotiations</w:t>
      </w:r>
      <w:r w:rsidR="0003244D" w:rsidRPr="004E7779">
        <w:rPr>
          <w:sz w:val="28"/>
          <w:szCs w:val="28"/>
        </w:rPr>
        <w:t xml:space="preserve"> between Mawdsley and the NFA</w:t>
      </w:r>
      <w:r w:rsidR="005B362B" w:rsidRPr="004E7779">
        <w:rPr>
          <w:sz w:val="28"/>
          <w:szCs w:val="28"/>
        </w:rPr>
        <w:t xml:space="preserve"> as to </w:t>
      </w:r>
      <w:r w:rsidR="00C07283">
        <w:rPr>
          <w:sz w:val="28"/>
          <w:szCs w:val="28"/>
        </w:rPr>
        <w:t xml:space="preserve">what constituted “relevant” documents.  </w:t>
      </w:r>
      <w:r w:rsidR="005B362B" w:rsidRPr="004E7779">
        <w:rPr>
          <w:sz w:val="28"/>
          <w:szCs w:val="28"/>
        </w:rPr>
        <w:t xml:space="preserve">Mawdsley </w:t>
      </w:r>
      <w:r w:rsidR="002865AC" w:rsidRPr="004E7779">
        <w:rPr>
          <w:sz w:val="28"/>
          <w:szCs w:val="28"/>
        </w:rPr>
        <w:t xml:space="preserve">was hesitant </w:t>
      </w:r>
      <w:r w:rsidR="007250A3" w:rsidRPr="004E7779">
        <w:rPr>
          <w:sz w:val="28"/>
          <w:szCs w:val="28"/>
        </w:rPr>
        <w:t xml:space="preserve">to </w:t>
      </w:r>
      <w:r w:rsidR="00456FD6">
        <w:rPr>
          <w:sz w:val="28"/>
          <w:szCs w:val="28"/>
        </w:rPr>
        <w:t xml:space="preserve">recommend to HMcP that he authorize production of </w:t>
      </w:r>
      <w:r w:rsidR="007250A3" w:rsidRPr="004E7779">
        <w:rPr>
          <w:sz w:val="28"/>
          <w:szCs w:val="28"/>
        </w:rPr>
        <w:t xml:space="preserve">documents </w:t>
      </w:r>
      <w:r w:rsidR="001C3AC2" w:rsidRPr="004E7779">
        <w:rPr>
          <w:sz w:val="28"/>
          <w:szCs w:val="28"/>
        </w:rPr>
        <w:t xml:space="preserve">irrelevant to the NFA’s objectives </w:t>
      </w:r>
      <w:r w:rsidR="00C84D8C" w:rsidRPr="004E7779">
        <w:rPr>
          <w:sz w:val="28"/>
          <w:szCs w:val="28"/>
        </w:rPr>
        <w:t xml:space="preserve">that </w:t>
      </w:r>
      <w:r w:rsidR="007250A3" w:rsidRPr="004E7779">
        <w:rPr>
          <w:sz w:val="28"/>
          <w:szCs w:val="28"/>
        </w:rPr>
        <w:t xml:space="preserve">reflected </w:t>
      </w:r>
      <w:r w:rsidR="00456FD6">
        <w:rPr>
          <w:sz w:val="28"/>
          <w:szCs w:val="28"/>
        </w:rPr>
        <w:t>HMcP</w:t>
      </w:r>
      <w:r w:rsidR="004D061A">
        <w:rPr>
          <w:sz w:val="28"/>
          <w:szCs w:val="28"/>
        </w:rPr>
        <w:t>’s</w:t>
      </w:r>
      <w:r w:rsidR="00456FD6" w:rsidRPr="004E7779">
        <w:rPr>
          <w:sz w:val="28"/>
          <w:szCs w:val="28"/>
        </w:rPr>
        <w:t xml:space="preserve"> </w:t>
      </w:r>
      <w:r w:rsidR="005B362B" w:rsidRPr="0032290B">
        <w:rPr>
          <w:b/>
          <w:sz w:val="28"/>
          <w:szCs w:val="28"/>
        </w:rPr>
        <w:t>private</w:t>
      </w:r>
      <w:r w:rsidR="005B362B" w:rsidRPr="004E7779">
        <w:rPr>
          <w:sz w:val="28"/>
          <w:szCs w:val="28"/>
        </w:rPr>
        <w:t xml:space="preserve"> </w:t>
      </w:r>
      <w:r w:rsidR="007250A3" w:rsidRPr="0032290B">
        <w:rPr>
          <w:sz w:val="28"/>
          <w:szCs w:val="28"/>
        </w:rPr>
        <w:t>business</w:t>
      </w:r>
      <w:r w:rsidR="007250A3" w:rsidRPr="004E7779">
        <w:rPr>
          <w:sz w:val="28"/>
          <w:szCs w:val="28"/>
        </w:rPr>
        <w:t xml:space="preserve"> </w:t>
      </w:r>
      <w:r w:rsidR="00C92634" w:rsidRPr="004E7779">
        <w:rPr>
          <w:sz w:val="28"/>
          <w:szCs w:val="28"/>
        </w:rPr>
        <w:t xml:space="preserve">and </w:t>
      </w:r>
      <w:r w:rsidR="00C92634" w:rsidRPr="0032290B">
        <w:rPr>
          <w:b/>
          <w:sz w:val="28"/>
          <w:szCs w:val="28"/>
        </w:rPr>
        <w:t>personal</w:t>
      </w:r>
      <w:r w:rsidR="00C92634" w:rsidRPr="004E7779">
        <w:rPr>
          <w:sz w:val="28"/>
          <w:szCs w:val="28"/>
        </w:rPr>
        <w:t xml:space="preserve"> </w:t>
      </w:r>
      <w:r w:rsidR="007250A3" w:rsidRPr="004E7779">
        <w:rPr>
          <w:sz w:val="28"/>
          <w:szCs w:val="28"/>
        </w:rPr>
        <w:t xml:space="preserve">affairs. </w:t>
      </w:r>
      <w:r w:rsidR="0032290B" w:rsidRPr="0032290B">
        <w:rPr>
          <w:b/>
          <w:sz w:val="28"/>
          <w:szCs w:val="28"/>
        </w:rPr>
        <w:t>Ninth</w:t>
      </w:r>
      <w:r w:rsidR="00672E16" w:rsidRPr="004E7779">
        <w:rPr>
          <w:sz w:val="28"/>
          <w:szCs w:val="28"/>
        </w:rPr>
        <w:t>, the NFA</w:t>
      </w:r>
      <w:r w:rsidR="0003244D" w:rsidRPr="004E7779">
        <w:rPr>
          <w:sz w:val="28"/>
          <w:szCs w:val="28"/>
        </w:rPr>
        <w:t xml:space="preserve"> served notices of </w:t>
      </w:r>
      <w:r w:rsidR="00672E16" w:rsidRPr="004E7779">
        <w:rPr>
          <w:sz w:val="28"/>
          <w:szCs w:val="28"/>
        </w:rPr>
        <w:t xml:space="preserve">deposition </w:t>
      </w:r>
      <w:r w:rsidR="0003244D" w:rsidRPr="004E7779">
        <w:rPr>
          <w:sz w:val="28"/>
          <w:szCs w:val="28"/>
        </w:rPr>
        <w:t xml:space="preserve">for </w:t>
      </w:r>
      <w:r w:rsidR="00672E16" w:rsidRPr="004E7779">
        <w:rPr>
          <w:sz w:val="28"/>
          <w:szCs w:val="28"/>
        </w:rPr>
        <w:t>Tanner</w:t>
      </w:r>
      <w:r w:rsidR="0017538A" w:rsidRPr="004E7779">
        <w:rPr>
          <w:sz w:val="28"/>
          <w:szCs w:val="28"/>
        </w:rPr>
        <w:t xml:space="preserve"> and</w:t>
      </w:r>
      <w:r w:rsidR="00672E16" w:rsidRPr="004E7779">
        <w:rPr>
          <w:sz w:val="28"/>
          <w:szCs w:val="28"/>
        </w:rPr>
        <w:t xml:space="preserve"> </w:t>
      </w:r>
      <w:r w:rsidR="0003244D" w:rsidRPr="004E7779">
        <w:rPr>
          <w:sz w:val="28"/>
          <w:szCs w:val="28"/>
        </w:rPr>
        <w:t>K</w:t>
      </w:r>
      <w:r w:rsidR="0017538A" w:rsidRPr="004E7779">
        <w:rPr>
          <w:sz w:val="28"/>
          <w:szCs w:val="28"/>
        </w:rPr>
        <w:t>r</w:t>
      </w:r>
      <w:r w:rsidR="0003244D" w:rsidRPr="004E7779">
        <w:rPr>
          <w:sz w:val="28"/>
          <w:szCs w:val="28"/>
        </w:rPr>
        <w:t xml:space="preserve">ier.  </w:t>
      </w:r>
      <w:r w:rsidR="0032290B">
        <w:rPr>
          <w:b/>
          <w:sz w:val="28"/>
          <w:szCs w:val="28"/>
        </w:rPr>
        <w:t>Ten</w:t>
      </w:r>
      <w:r w:rsidR="0003244D" w:rsidRPr="004E7779">
        <w:rPr>
          <w:b/>
          <w:sz w:val="28"/>
          <w:szCs w:val="28"/>
        </w:rPr>
        <w:t>th</w:t>
      </w:r>
      <w:r w:rsidR="0003244D" w:rsidRPr="004E7779">
        <w:rPr>
          <w:sz w:val="28"/>
          <w:szCs w:val="28"/>
        </w:rPr>
        <w:t xml:space="preserve">, </w:t>
      </w:r>
      <w:r w:rsidR="0017538A" w:rsidRPr="004E7779">
        <w:rPr>
          <w:sz w:val="28"/>
          <w:szCs w:val="28"/>
        </w:rPr>
        <w:t xml:space="preserve">just </w:t>
      </w:r>
      <w:r w:rsidR="0017538A" w:rsidRPr="004E7779">
        <w:rPr>
          <w:sz w:val="28"/>
          <w:szCs w:val="28"/>
        </w:rPr>
        <w:lastRenderedPageBreak/>
        <w:t xml:space="preserve">prior to his </w:t>
      </w:r>
      <w:r w:rsidR="00FF41A3" w:rsidRPr="004E7779">
        <w:rPr>
          <w:sz w:val="28"/>
          <w:szCs w:val="28"/>
        </w:rPr>
        <w:t xml:space="preserve">August 6, 2013 </w:t>
      </w:r>
      <w:r w:rsidR="0017538A" w:rsidRPr="004E7779">
        <w:rPr>
          <w:sz w:val="28"/>
          <w:szCs w:val="28"/>
        </w:rPr>
        <w:t xml:space="preserve">deposition and </w:t>
      </w:r>
      <w:r w:rsidR="0017538A" w:rsidRPr="004E7779">
        <w:rPr>
          <w:b/>
          <w:sz w:val="28"/>
          <w:szCs w:val="28"/>
        </w:rPr>
        <w:t>for the first time</w:t>
      </w:r>
      <w:r w:rsidR="0017538A" w:rsidRPr="004E7779">
        <w:rPr>
          <w:sz w:val="28"/>
          <w:szCs w:val="28"/>
        </w:rPr>
        <w:t xml:space="preserve">, Tanner was provided </w:t>
      </w:r>
      <w:r w:rsidR="004D061A">
        <w:rPr>
          <w:sz w:val="28"/>
          <w:szCs w:val="28"/>
        </w:rPr>
        <w:t>HMcP</w:t>
      </w:r>
      <w:r w:rsidR="004D061A" w:rsidRPr="004E7779">
        <w:rPr>
          <w:sz w:val="28"/>
          <w:szCs w:val="28"/>
        </w:rPr>
        <w:t xml:space="preserve"> </w:t>
      </w:r>
      <w:r w:rsidR="0017538A" w:rsidRPr="004E7779">
        <w:rPr>
          <w:sz w:val="28"/>
          <w:szCs w:val="28"/>
        </w:rPr>
        <w:t xml:space="preserve">documents he believed were responsive to the NFA’s requests of </w:t>
      </w:r>
      <w:r w:rsidR="004D061A">
        <w:rPr>
          <w:sz w:val="28"/>
          <w:szCs w:val="28"/>
        </w:rPr>
        <w:t>HMcP</w:t>
      </w:r>
      <w:r w:rsidR="0017538A" w:rsidRPr="004E7779">
        <w:rPr>
          <w:sz w:val="28"/>
          <w:szCs w:val="28"/>
        </w:rPr>
        <w:t>.  At his</w:t>
      </w:r>
      <w:r w:rsidR="00032B2F" w:rsidRPr="004E7779">
        <w:rPr>
          <w:sz w:val="28"/>
          <w:szCs w:val="28"/>
        </w:rPr>
        <w:t xml:space="preserve"> </w:t>
      </w:r>
      <w:r w:rsidR="0017538A" w:rsidRPr="004E7779">
        <w:rPr>
          <w:sz w:val="28"/>
          <w:szCs w:val="28"/>
        </w:rPr>
        <w:t xml:space="preserve">deposition, </w:t>
      </w:r>
      <w:r w:rsidR="0003244D" w:rsidRPr="004E7779">
        <w:rPr>
          <w:sz w:val="28"/>
          <w:szCs w:val="28"/>
        </w:rPr>
        <w:t>Tanner</w:t>
      </w:r>
      <w:r w:rsidR="0017538A" w:rsidRPr="004E7779">
        <w:rPr>
          <w:sz w:val="28"/>
          <w:szCs w:val="28"/>
        </w:rPr>
        <w:t xml:space="preserve"> provided those documents to the NFA and they were entered into the </w:t>
      </w:r>
      <w:r w:rsidR="00BC2075" w:rsidRPr="004E7779">
        <w:rPr>
          <w:sz w:val="28"/>
          <w:szCs w:val="28"/>
        </w:rPr>
        <w:t xml:space="preserve">deposition </w:t>
      </w:r>
      <w:r w:rsidR="0017538A" w:rsidRPr="004E7779">
        <w:rPr>
          <w:sz w:val="28"/>
          <w:szCs w:val="28"/>
        </w:rPr>
        <w:t>record as exhibits.</w:t>
      </w:r>
      <w:r w:rsidR="00032B2F" w:rsidRPr="004E7779">
        <w:rPr>
          <w:sz w:val="28"/>
          <w:szCs w:val="28"/>
        </w:rPr>
        <w:t xml:space="preserve">  </w:t>
      </w:r>
    </w:p>
    <w:p w:rsidR="00C07283" w:rsidRDefault="0032290B" w:rsidP="00AF0A5E">
      <w:pPr>
        <w:pStyle w:val="ListParagraph"/>
        <w:numPr>
          <w:ilvl w:val="0"/>
          <w:numId w:val="13"/>
        </w:numPr>
        <w:spacing w:after="240" w:line="480" w:lineRule="auto"/>
        <w:ind w:left="0" w:firstLine="720"/>
        <w:jc w:val="both"/>
        <w:rPr>
          <w:sz w:val="28"/>
          <w:szCs w:val="28"/>
        </w:rPr>
      </w:pPr>
      <w:r>
        <w:rPr>
          <w:b/>
          <w:sz w:val="28"/>
          <w:szCs w:val="28"/>
        </w:rPr>
        <w:t>Eleventh</w:t>
      </w:r>
      <w:r w:rsidR="00032B2F" w:rsidRPr="00C07283">
        <w:rPr>
          <w:sz w:val="28"/>
          <w:szCs w:val="28"/>
        </w:rPr>
        <w:t xml:space="preserve">, </w:t>
      </w:r>
      <w:r w:rsidR="00F642ED" w:rsidRPr="00C07283">
        <w:rPr>
          <w:sz w:val="28"/>
          <w:szCs w:val="28"/>
        </w:rPr>
        <w:t xml:space="preserve">at Tanner’s deposition, </w:t>
      </w:r>
      <w:r w:rsidR="00BE0ADD" w:rsidRPr="00C07283">
        <w:rPr>
          <w:sz w:val="28"/>
          <w:szCs w:val="28"/>
        </w:rPr>
        <w:t xml:space="preserve">the NFA requested </w:t>
      </w:r>
      <w:r w:rsidR="004C1BBE" w:rsidRPr="00C07283">
        <w:rPr>
          <w:sz w:val="28"/>
          <w:szCs w:val="28"/>
        </w:rPr>
        <w:t>further and detailed documentation</w:t>
      </w:r>
      <w:r w:rsidR="00FF41A3" w:rsidRPr="00C07283">
        <w:rPr>
          <w:sz w:val="28"/>
          <w:szCs w:val="28"/>
        </w:rPr>
        <w:t xml:space="preserve"> </w:t>
      </w:r>
      <w:r w:rsidR="00AB70B4">
        <w:rPr>
          <w:sz w:val="28"/>
          <w:szCs w:val="28"/>
        </w:rPr>
        <w:t xml:space="preserve">as to </w:t>
      </w:r>
      <w:r w:rsidR="00D16227">
        <w:rPr>
          <w:sz w:val="28"/>
          <w:szCs w:val="28"/>
        </w:rPr>
        <w:t>HMcP</w:t>
      </w:r>
      <w:r w:rsidR="004C1BBE" w:rsidRPr="00C07283">
        <w:rPr>
          <w:sz w:val="28"/>
          <w:szCs w:val="28"/>
        </w:rPr>
        <w:t xml:space="preserve">.  </w:t>
      </w:r>
      <w:r w:rsidR="00D005F0">
        <w:rPr>
          <w:b/>
          <w:sz w:val="28"/>
          <w:szCs w:val="28"/>
        </w:rPr>
        <w:t>Twelfth</w:t>
      </w:r>
      <w:r w:rsidR="00B524E3" w:rsidRPr="00C07283">
        <w:rPr>
          <w:sz w:val="28"/>
          <w:szCs w:val="28"/>
        </w:rPr>
        <w:t xml:space="preserve">, </w:t>
      </w:r>
      <w:r w:rsidR="00F642ED" w:rsidRPr="00C07283">
        <w:rPr>
          <w:sz w:val="28"/>
          <w:szCs w:val="28"/>
        </w:rPr>
        <w:t>on August 2</w:t>
      </w:r>
      <w:r w:rsidR="00302627">
        <w:rPr>
          <w:sz w:val="28"/>
          <w:szCs w:val="28"/>
        </w:rPr>
        <w:t>6</w:t>
      </w:r>
      <w:r w:rsidR="00F642ED" w:rsidRPr="00C07283">
        <w:rPr>
          <w:sz w:val="28"/>
          <w:szCs w:val="28"/>
        </w:rPr>
        <w:t>,</w:t>
      </w:r>
      <w:r w:rsidR="00302627">
        <w:rPr>
          <w:sz w:val="28"/>
          <w:szCs w:val="28"/>
        </w:rPr>
        <w:t xml:space="preserve"> the NFA requested further documents rela</w:t>
      </w:r>
      <w:r w:rsidR="008C37FC">
        <w:rPr>
          <w:sz w:val="28"/>
          <w:szCs w:val="28"/>
        </w:rPr>
        <w:t xml:space="preserve">ting </w:t>
      </w:r>
      <w:r w:rsidR="00302627">
        <w:rPr>
          <w:sz w:val="28"/>
          <w:szCs w:val="28"/>
        </w:rPr>
        <w:t xml:space="preserve">to </w:t>
      </w:r>
      <w:r w:rsidR="00D16227">
        <w:rPr>
          <w:sz w:val="28"/>
          <w:szCs w:val="28"/>
        </w:rPr>
        <w:t>HMcP</w:t>
      </w:r>
      <w:r w:rsidR="00302627">
        <w:rPr>
          <w:sz w:val="28"/>
          <w:szCs w:val="28"/>
        </w:rPr>
        <w:t xml:space="preserve">, some of which </w:t>
      </w:r>
      <w:proofErr w:type="gramStart"/>
      <w:r w:rsidR="00302627">
        <w:rPr>
          <w:sz w:val="28"/>
          <w:szCs w:val="28"/>
        </w:rPr>
        <w:t>were never previously discussed or requested</w:t>
      </w:r>
      <w:proofErr w:type="gramEnd"/>
      <w:r w:rsidR="003A5C31">
        <w:rPr>
          <w:sz w:val="28"/>
          <w:szCs w:val="28"/>
        </w:rPr>
        <w:t>.  W</w:t>
      </w:r>
      <w:r w:rsidR="0051526E">
        <w:rPr>
          <w:sz w:val="28"/>
          <w:szCs w:val="28"/>
        </w:rPr>
        <w:t xml:space="preserve">ith </w:t>
      </w:r>
      <w:proofErr w:type="spellStart"/>
      <w:r w:rsidR="0051526E">
        <w:rPr>
          <w:sz w:val="28"/>
          <w:szCs w:val="28"/>
        </w:rPr>
        <w:t>Mawdsley</w:t>
      </w:r>
      <w:proofErr w:type="spellEnd"/>
      <w:r w:rsidR="006A51DA">
        <w:rPr>
          <w:sz w:val="28"/>
          <w:szCs w:val="28"/>
        </w:rPr>
        <w:t xml:space="preserve"> serving as a conduit</w:t>
      </w:r>
      <w:r w:rsidR="003A5C31">
        <w:rPr>
          <w:sz w:val="28"/>
          <w:szCs w:val="28"/>
        </w:rPr>
        <w:t>,</w:t>
      </w:r>
      <w:r w:rsidR="0051526E">
        <w:rPr>
          <w:sz w:val="28"/>
          <w:szCs w:val="28"/>
        </w:rPr>
        <w:t xml:space="preserve"> </w:t>
      </w:r>
      <w:r w:rsidR="00302627">
        <w:rPr>
          <w:sz w:val="28"/>
          <w:szCs w:val="28"/>
        </w:rPr>
        <w:t xml:space="preserve">ILQ </w:t>
      </w:r>
      <w:r w:rsidR="009A3E3A">
        <w:rPr>
          <w:sz w:val="28"/>
          <w:szCs w:val="28"/>
        </w:rPr>
        <w:t xml:space="preserve">satisfied those requests on August 28.  </w:t>
      </w:r>
      <w:r w:rsidR="00D005F0">
        <w:rPr>
          <w:b/>
          <w:sz w:val="28"/>
          <w:szCs w:val="28"/>
        </w:rPr>
        <w:t>Thirteenth</w:t>
      </w:r>
      <w:r w:rsidR="00F642ED" w:rsidRPr="00C07283">
        <w:rPr>
          <w:sz w:val="28"/>
          <w:szCs w:val="28"/>
        </w:rPr>
        <w:t xml:space="preserve">, </w:t>
      </w:r>
      <w:r w:rsidR="009A3E3A">
        <w:rPr>
          <w:sz w:val="28"/>
          <w:szCs w:val="28"/>
        </w:rPr>
        <w:t xml:space="preserve">the NFA made a follow-up request to receive from the issuing commercial bank </w:t>
      </w:r>
      <w:r w:rsidR="00A1081E">
        <w:rPr>
          <w:sz w:val="28"/>
          <w:szCs w:val="28"/>
        </w:rPr>
        <w:t xml:space="preserve">a written confirmation of </w:t>
      </w:r>
      <w:r w:rsidR="009A3E3A">
        <w:rPr>
          <w:sz w:val="28"/>
          <w:szCs w:val="28"/>
        </w:rPr>
        <w:t xml:space="preserve">the accuracy and completeness of </w:t>
      </w:r>
      <w:r w:rsidR="00C5255F">
        <w:rPr>
          <w:sz w:val="28"/>
          <w:szCs w:val="28"/>
        </w:rPr>
        <w:t xml:space="preserve">HMcP’s </w:t>
      </w:r>
      <w:r w:rsidR="009A3E3A">
        <w:rPr>
          <w:sz w:val="28"/>
          <w:szCs w:val="28"/>
        </w:rPr>
        <w:t>documents</w:t>
      </w:r>
      <w:r w:rsidR="008C37FC">
        <w:rPr>
          <w:sz w:val="28"/>
          <w:szCs w:val="28"/>
        </w:rPr>
        <w:t xml:space="preserve"> </w:t>
      </w:r>
      <w:r w:rsidR="0023057A">
        <w:rPr>
          <w:sz w:val="28"/>
          <w:szCs w:val="28"/>
        </w:rPr>
        <w:t xml:space="preserve">previously </w:t>
      </w:r>
      <w:r w:rsidR="008C37FC">
        <w:rPr>
          <w:sz w:val="28"/>
          <w:szCs w:val="28"/>
        </w:rPr>
        <w:t>received by the NFA</w:t>
      </w:r>
      <w:r w:rsidR="0023057A">
        <w:rPr>
          <w:sz w:val="28"/>
          <w:szCs w:val="28"/>
        </w:rPr>
        <w:t xml:space="preserve">. </w:t>
      </w:r>
      <w:r w:rsidR="00180A0B">
        <w:rPr>
          <w:sz w:val="28"/>
          <w:szCs w:val="28"/>
        </w:rPr>
        <w:t xml:space="preserve"> With HMcP’s written approval,</w:t>
      </w:r>
      <w:r w:rsidR="0023057A">
        <w:rPr>
          <w:sz w:val="28"/>
          <w:szCs w:val="28"/>
        </w:rPr>
        <w:t xml:space="preserve"> </w:t>
      </w:r>
      <w:proofErr w:type="spellStart"/>
      <w:r w:rsidR="00B70C6C" w:rsidRPr="00C07283">
        <w:rPr>
          <w:b/>
          <w:sz w:val="28"/>
          <w:szCs w:val="28"/>
        </w:rPr>
        <w:t>Mawdsley</w:t>
      </w:r>
      <w:proofErr w:type="spellEnd"/>
      <w:r w:rsidR="00B70C6C" w:rsidRPr="00C07283">
        <w:rPr>
          <w:b/>
          <w:sz w:val="28"/>
          <w:szCs w:val="28"/>
        </w:rPr>
        <w:t xml:space="preserve"> </w:t>
      </w:r>
      <w:r w:rsidR="00E61303" w:rsidRPr="00C07283">
        <w:rPr>
          <w:b/>
          <w:sz w:val="28"/>
          <w:szCs w:val="28"/>
        </w:rPr>
        <w:t xml:space="preserve">instructed </w:t>
      </w:r>
      <w:r w:rsidR="00FC1E78" w:rsidRPr="00C07283">
        <w:rPr>
          <w:b/>
          <w:sz w:val="28"/>
          <w:szCs w:val="28"/>
        </w:rPr>
        <w:t>UBS AG</w:t>
      </w:r>
      <w:r w:rsidR="00FC1E78" w:rsidRPr="00C07283">
        <w:rPr>
          <w:sz w:val="28"/>
          <w:szCs w:val="28"/>
        </w:rPr>
        <w:t xml:space="preserve"> </w:t>
      </w:r>
      <w:r w:rsidR="00E61303" w:rsidRPr="00C07283">
        <w:rPr>
          <w:sz w:val="28"/>
          <w:szCs w:val="28"/>
        </w:rPr>
        <w:t xml:space="preserve">to </w:t>
      </w:r>
      <w:r w:rsidR="00B70C6C" w:rsidRPr="00C07283">
        <w:rPr>
          <w:sz w:val="28"/>
          <w:szCs w:val="28"/>
        </w:rPr>
        <w:t>produce further documents to the NFA</w:t>
      </w:r>
      <w:r w:rsidR="00AA667C">
        <w:rPr>
          <w:sz w:val="28"/>
          <w:szCs w:val="28"/>
        </w:rPr>
        <w:t xml:space="preserve"> providing the confirmation it sought</w:t>
      </w:r>
      <w:r w:rsidR="00B70C6C" w:rsidRPr="00C07283">
        <w:rPr>
          <w:sz w:val="28"/>
          <w:szCs w:val="28"/>
        </w:rPr>
        <w:t xml:space="preserve">, and the NFA confirmed </w:t>
      </w:r>
      <w:r w:rsidR="003637F3" w:rsidRPr="00C07283">
        <w:rPr>
          <w:sz w:val="28"/>
          <w:szCs w:val="28"/>
        </w:rPr>
        <w:t>receipt</w:t>
      </w:r>
      <w:r w:rsidR="003B083D" w:rsidRPr="00C07283">
        <w:rPr>
          <w:sz w:val="28"/>
          <w:szCs w:val="28"/>
        </w:rPr>
        <w:t xml:space="preserve"> thereof</w:t>
      </w:r>
      <w:r w:rsidR="003637F3" w:rsidRPr="00C07283">
        <w:rPr>
          <w:sz w:val="28"/>
          <w:szCs w:val="28"/>
        </w:rPr>
        <w:t xml:space="preserve">.  </w:t>
      </w:r>
      <w:r w:rsidR="008E2CA1">
        <w:rPr>
          <w:sz w:val="28"/>
          <w:szCs w:val="28"/>
        </w:rPr>
        <w:t>(</w:t>
      </w:r>
      <w:proofErr w:type="gramStart"/>
      <w:r w:rsidR="008E2CA1">
        <w:rPr>
          <w:sz w:val="28"/>
          <w:szCs w:val="28"/>
        </w:rPr>
        <w:t xml:space="preserve">UBS AG was prohibited </w:t>
      </w:r>
      <w:r w:rsidR="00784457">
        <w:rPr>
          <w:sz w:val="28"/>
          <w:szCs w:val="28"/>
        </w:rPr>
        <w:t xml:space="preserve">by local law from disclosing </w:t>
      </w:r>
      <w:r w:rsidR="008E2CA1">
        <w:rPr>
          <w:sz w:val="28"/>
          <w:szCs w:val="28"/>
        </w:rPr>
        <w:t>HMcP information</w:t>
      </w:r>
      <w:r w:rsidR="00784457">
        <w:rPr>
          <w:sz w:val="28"/>
          <w:szCs w:val="28"/>
        </w:rPr>
        <w:t xml:space="preserve"> without HMcP’s written approval</w:t>
      </w:r>
      <w:proofErr w:type="gramEnd"/>
      <w:r w:rsidR="00784457">
        <w:rPr>
          <w:sz w:val="28"/>
          <w:szCs w:val="28"/>
        </w:rPr>
        <w:t>.)</w:t>
      </w:r>
    </w:p>
    <w:p w:rsidR="00C07283" w:rsidRPr="00C07283" w:rsidRDefault="00B17C70" w:rsidP="00AF0A5E">
      <w:pPr>
        <w:pStyle w:val="ListParagraph"/>
        <w:numPr>
          <w:ilvl w:val="0"/>
          <w:numId w:val="13"/>
        </w:numPr>
        <w:spacing w:after="240" w:line="480" w:lineRule="auto"/>
        <w:ind w:left="0" w:firstLine="720"/>
        <w:jc w:val="both"/>
        <w:rPr>
          <w:sz w:val="28"/>
          <w:szCs w:val="28"/>
        </w:rPr>
      </w:pPr>
      <w:proofErr w:type="gramStart"/>
      <w:r w:rsidRPr="00C07283">
        <w:rPr>
          <w:b/>
          <w:sz w:val="28"/>
          <w:szCs w:val="28"/>
        </w:rPr>
        <w:t>As a consequence</w:t>
      </w:r>
      <w:proofErr w:type="gramEnd"/>
      <w:r w:rsidR="00C07283">
        <w:rPr>
          <w:b/>
          <w:sz w:val="28"/>
          <w:szCs w:val="28"/>
        </w:rPr>
        <w:t xml:space="preserve"> of the foregoing</w:t>
      </w:r>
      <w:r w:rsidRPr="00C07283">
        <w:rPr>
          <w:sz w:val="28"/>
          <w:szCs w:val="28"/>
        </w:rPr>
        <w:t>, the NFA</w:t>
      </w:r>
      <w:r w:rsidR="001B2518" w:rsidRPr="00C07283">
        <w:rPr>
          <w:sz w:val="28"/>
          <w:szCs w:val="28"/>
        </w:rPr>
        <w:t>’s objectives</w:t>
      </w:r>
      <w:r w:rsidRPr="00C07283">
        <w:rPr>
          <w:sz w:val="28"/>
          <w:szCs w:val="28"/>
        </w:rPr>
        <w:t xml:space="preserve"> were met</w:t>
      </w:r>
      <w:r w:rsidR="00C47D8E" w:rsidRPr="00C07283">
        <w:rPr>
          <w:sz w:val="28"/>
          <w:szCs w:val="28"/>
        </w:rPr>
        <w:t>,</w:t>
      </w:r>
      <w:r w:rsidRPr="00C07283">
        <w:rPr>
          <w:sz w:val="28"/>
          <w:szCs w:val="28"/>
        </w:rPr>
        <w:t xml:space="preserve"> </w:t>
      </w:r>
      <w:r w:rsidR="001B2518" w:rsidRPr="00C07283">
        <w:rPr>
          <w:sz w:val="28"/>
          <w:szCs w:val="28"/>
        </w:rPr>
        <w:t>namely,</w:t>
      </w:r>
      <w:r w:rsidR="00207717">
        <w:rPr>
          <w:sz w:val="28"/>
          <w:szCs w:val="28"/>
        </w:rPr>
        <w:t xml:space="preserve"> </w:t>
      </w:r>
      <w:r w:rsidR="00207717" w:rsidRPr="00207717">
        <w:rPr>
          <w:b/>
          <w:sz w:val="28"/>
          <w:szCs w:val="28"/>
        </w:rPr>
        <w:t>(1)</w:t>
      </w:r>
      <w:r w:rsidR="00207717">
        <w:rPr>
          <w:sz w:val="28"/>
          <w:szCs w:val="28"/>
        </w:rPr>
        <w:t xml:space="preserve"> </w:t>
      </w:r>
      <w:r w:rsidRPr="00C07283">
        <w:rPr>
          <w:sz w:val="28"/>
          <w:szCs w:val="28"/>
        </w:rPr>
        <w:t xml:space="preserve">there was </w:t>
      </w:r>
      <w:r w:rsidRPr="00C07283">
        <w:rPr>
          <w:b/>
          <w:sz w:val="28"/>
          <w:szCs w:val="28"/>
        </w:rPr>
        <w:t>no evidence of an undisclosed principal</w:t>
      </w:r>
      <w:r w:rsidRPr="00C07283">
        <w:rPr>
          <w:sz w:val="28"/>
          <w:szCs w:val="28"/>
        </w:rPr>
        <w:t xml:space="preserve"> at ILQ</w:t>
      </w:r>
      <w:r w:rsidR="00BF518A" w:rsidRPr="00C07283">
        <w:rPr>
          <w:sz w:val="28"/>
          <w:szCs w:val="28"/>
        </w:rPr>
        <w:t>,</w:t>
      </w:r>
      <w:r w:rsidR="00C47D8E" w:rsidRPr="00C07283">
        <w:rPr>
          <w:sz w:val="28"/>
          <w:szCs w:val="28"/>
        </w:rPr>
        <w:t xml:space="preserve"> </w:t>
      </w:r>
      <w:r w:rsidR="00207717" w:rsidRPr="00207717">
        <w:rPr>
          <w:b/>
          <w:sz w:val="28"/>
          <w:szCs w:val="28"/>
        </w:rPr>
        <w:t>(2)</w:t>
      </w:r>
      <w:r w:rsidR="00207717">
        <w:rPr>
          <w:sz w:val="28"/>
          <w:szCs w:val="28"/>
        </w:rPr>
        <w:t xml:space="preserve"> </w:t>
      </w:r>
      <w:r w:rsidR="00C47D8E" w:rsidRPr="00C07283">
        <w:rPr>
          <w:sz w:val="28"/>
          <w:szCs w:val="28"/>
        </w:rPr>
        <w:t xml:space="preserve">the NFA </w:t>
      </w:r>
      <w:r w:rsidR="00BF518A" w:rsidRPr="00C07283">
        <w:rPr>
          <w:b/>
          <w:sz w:val="28"/>
          <w:szCs w:val="28"/>
        </w:rPr>
        <w:t xml:space="preserve">verified </w:t>
      </w:r>
      <w:r w:rsidR="00853244" w:rsidRPr="00853244">
        <w:rPr>
          <w:b/>
          <w:sz w:val="28"/>
          <w:szCs w:val="28"/>
        </w:rPr>
        <w:t>HMcP</w:t>
      </w:r>
      <w:r w:rsidR="00853244">
        <w:rPr>
          <w:b/>
          <w:sz w:val="28"/>
          <w:szCs w:val="28"/>
        </w:rPr>
        <w:t xml:space="preserve">’s </w:t>
      </w:r>
      <w:r w:rsidR="00C47D8E" w:rsidRPr="00C07283">
        <w:rPr>
          <w:b/>
          <w:sz w:val="28"/>
          <w:szCs w:val="28"/>
        </w:rPr>
        <w:t>financial capabilities</w:t>
      </w:r>
      <w:r w:rsidR="00C47D8E" w:rsidRPr="00C07283">
        <w:rPr>
          <w:sz w:val="28"/>
          <w:szCs w:val="28"/>
        </w:rPr>
        <w:t xml:space="preserve"> to </w:t>
      </w:r>
      <w:r w:rsidR="00BF518A" w:rsidRPr="00C07283">
        <w:rPr>
          <w:sz w:val="28"/>
          <w:szCs w:val="28"/>
        </w:rPr>
        <w:t xml:space="preserve">fund </w:t>
      </w:r>
      <w:r w:rsidR="00C47D8E" w:rsidRPr="00C07283">
        <w:rPr>
          <w:sz w:val="28"/>
          <w:szCs w:val="28"/>
        </w:rPr>
        <w:t>ILQ</w:t>
      </w:r>
      <w:r w:rsidR="00BF518A" w:rsidRPr="00C07283">
        <w:rPr>
          <w:sz w:val="28"/>
          <w:szCs w:val="28"/>
        </w:rPr>
        <w:t xml:space="preserve"> and </w:t>
      </w:r>
      <w:r w:rsidR="00207717" w:rsidRPr="00207717">
        <w:rPr>
          <w:b/>
          <w:sz w:val="28"/>
          <w:szCs w:val="28"/>
        </w:rPr>
        <w:t>(3)</w:t>
      </w:r>
      <w:r w:rsidR="00207717">
        <w:rPr>
          <w:sz w:val="28"/>
          <w:szCs w:val="28"/>
        </w:rPr>
        <w:t xml:space="preserve"> </w:t>
      </w:r>
      <w:r w:rsidR="00BF518A" w:rsidRPr="00C07283">
        <w:rPr>
          <w:sz w:val="28"/>
          <w:szCs w:val="28"/>
        </w:rPr>
        <w:t xml:space="preserve">there was </w:t>
      </w:r>
      <w:r w:rsidR="00BF518A" w:rsidRPr="00C07283">
        <w:rPr>
          <w:b/>
          <w:sz w:val="28"/>
          <w:szCs w:val="28"/>
        </w:rPr>
        <w:t>no evidence of suspicious activity</w:t>
      </w:r>
      <w:r w:rsidR="00333212" w:rsidRPr="00C07283">
        <w:rPr>
          <w:sz w:val="28"/>
          <w:szCs w:val="28"/>
        </w:rPr>
        <w:t xml:space="preserve"> in connection with </w:t>
      </w:r>
      <w:r w:rsidR="00853244">
        <w:rPr>
          <w:sz w:val="28"/>
          <w:szCs w:val="28"/>
        </w:rPr>
        <w:t xml:space="preserve">HMcP’s </w:t>
      </w:r>
      <w:r w:rsidR="00333212" w:rsidRPr="00C07283">
        <w:rPr>
          <w:sz w:val="28"/>
          <w:szCs w:val="28"/>
        </w:rPr>
        <w:t>capital infusions into ILQ</w:t>
      </w:r>
      <w:r w:rsidRPr="00C07283">
        <w:rPr>
          <w:sz w:val="28"/>
          <w:szCs w:val="28"/>
        </w:rPr>
        <w:t>.</w:t>
      </w:r>
      <w:r w:rsidR="00BF518A" w:rsidRPr="00C07283">
        <w:rPr>
          <w:sz w:val="28"/>
          <w:szCs w:val="28"/>
        </w:rPr>
        <w:t xml:space="preserve">  </w:t>
      </w:r>
    </w:p>
    <w:p w:rsidR="00525C86" w:rsidRDefault="0030284D" w:rsidP="00AF0A5E">
      <w:pPr>
        <w:pStyle w:val="ListParagraph"/>
        <w:numPr>
          <w:ilvl w:val="0"/>
          <w:numId w:val="13"/>
        </w:numPr>
        <w:spacing w:after="240" w:line="480" w:lineRule="auto"/>
        <w:ind w:left="0" w:firstLine="720"/>
        <w:jc w:val="both"/>
        <w:rPr>
          <w:sz w:val="28"/>
          <w:szCs w:val="28"/>
        </w:rPr>
      </w:pPr>
      <w:r>
        <w:rPr>
          <w:sz w:val="28"/>
          <w:szCs w:val="28"/>
        </w:rPr>
        <w:lastRenderedPageBreak/>
        <w:t xml:space="preserve">Because ILQ, Tanner and Krier </w:t>
      </w:r>
      <w:r w:rsidRPr="00963199">
        <w:rPr>
          <w:b/>
          <w:sz w:val="28"/>
          <w:szCs w:val="28"/>
        </w:rPr>
        <w:t>did not</w:t>
      </w:r>
      <w:r>
        <w:rPr>
          <w:sz w:val="28"/>
          <w:szCs w:val="28"/>
        </w:rPr>
        <w:t xml:space="preserve"> have the ability </w:t>
      </w:r>
      <w:r w:rsidR="007F34EF">
        <w:rPr>
          <w:sz w:val="28"/>
          <w:szCs w:val="28"/>
        </w:rPr>
        <w:t xml:space="preserve">to control </w:t>
      </w:r>
      <w:r w:rsidR="00853244">
        <w:rPr>
          <w:sz w:val="28"/>
          <w:szCs w:val="28"/>
        </w:rPr>
        <w:t xml:space="preserve">HMcP’s </w:t>
      </w:r>
      <w:r w:rsidR="00801886">
        <w:rPr>
          <w:sz w:val="28"/>
          <w:szCs w:val="28"/>
        </w:rPr>
        <w:t xml:space="preserve">delivery of </w:t>
      </w:r>
      <w:r w:rsidR="007F34EF">
        <w:rPr>
          <w:sz w:val="28"/>
          <w:szCs w:val="28"/>
        </w:rPr>
        <w:t xml:space="preserve">financial information to the NFA, and their </w:t>
      </w:r>
      <w:r w:rsidR="007F34EF" w:rsidRPr="00963199">
        <w:rPr>
          <w:b/>
          <w:sz w:val="28"/>
          <w:szCs w:val="28"/>
        </w:rPr>
        <w:t>consistent good faith efforts</w:t>
      </w:r>
      <w:r w:rsidR="003E7D60">
        <w:rPr>
          <w:sz w:val="28"/>
          <w:szCs w:val="28"/>
        </w:rPr>
        <w:t xml:space="preserve"> </w:t>
      </w:r>
      <w:r w:rsidR="006620BB">
        <w:rPr>
          <w:sz w:val="28"/>
          <w:szCs w:val="28"/>
        </w:rPr>
        <w:t xml:space="preserve">to </w:t>
      </w:r>
      <w:r w:rsidR="003E7D60">
        <w:rPr>
          <w:sz w:val="28"/>
          <w:szCs w:val="28"/>
        </w:rPr>
        <w:t>work</w:t>
      </w:r>
      <w:r w:rsidR="006620BB">
        <w:rPr>
          <w:sz w:val="28"/>
          <w:szCs w:val="28"/>
        </w:rPr>
        <w:t xml:space="preserve"> </w:t>
      </w:r>
      <w:r w:rsidR="003E7D60">
        <w:rPr>
          <w:sz w:val="28"/>
          <w:szCs w:val="28"/>
        </w:rPr>
        <w:t>with the NFA</w:t>
      </w:r>
      <w:r w:rsidR="00801886">
        <w:rPr>
          <w:sz w:val="28"/>
          <w:szCs w:val="28"/>
        </w:rPr>
        <w:t xml:space="preserve"> toward its objective</w:t>
      </w:r>
      <w:r w:rsidR="00525C86">
        <w:rPr>
          <w:sz w:val="28"/>
          <w:szCs w:val="28"/>
        </w:rPr>
        <w:t>s</w:t>
      </w:r>
      <w:r w:rsidR="007F34EF">
        <w:rPr>
          <w:sz w:val="28"/>
          <w:szCs w:val="28"/>
        </w:rPr>
        <w:t xml:space="preserve">, there </w:t>
      </w:r>
      <w:r w:rsidR="00300A11">
        <w:rPr>
          <w:sz w:val="28"/>
          <w:szCs w:val="28"/>
        </w:rPr>
        <w:t xml:space="preserve">could not have been a </w:t>
      </w:r>
      <w:r w:rsidR="007F34EF">
        <w:rPr>
          <w:sz w:val="28"/>
          <w:szCs w:val="28"/>
        </w:rPr>
        <w:t>violation of Compliance Rule 2-5</w:t>
      </w:r>
      <w:r w:rsidR="00300A11">
        <w:rPr>
          <w:sz w:val="28"/>
          <w:szCs w:val="28"/>
        </w:rPr>
        <w:t>. There was</w:t>
      </w:r>
      <w:r w:rsidR="007F34EF">
        <w:rPr>
          <w:sz w:val="28"/>
          <w:szCs w:val="28"/>
        </w:rPr>
        <w:t xml:space="preserve"> no failure </w:t>
      </w:r>
      <w:r w:rsidR="00E0633B">
        <w:rPr>
          <w:sz w:val="28"/>
          <w:szCs w:val="28"/>
        </w:rPr>
        <w:t xml:space="preserve">on their part </w:t>
      </w:r>
      <w:r w:rsidR="007F34EF">
        <w:rPr>
          <w:sz w:val="28"/>
          <w:szCs w:val="28"/>
        </w:rPr>
        <w:t>to cooperate with the NFA.</w:t>
      </w:r>
      <w:r w:rsidR="00801886">
        <w:rPr>
          <w:sz w:val="28"/>
          <w:szCs w:val="28"/>
        </w:rPr>
        <w:t xml:space="preserve">  </w:t>
      </w:r>
    </w:p>
    <w:p w:rsidR="00206068" w:rsidRDefault="00801886" w:rsidP="00AF0A5E">
      <w:pPr>
        <w:pStyle w:val="ListParagraph"/>
        <w:numPr>
          <w:ilvl w:val="0"/>
          <w:numId w:val="13"/>
        </w:numPr>
        <w:spacing w:line="480" w:lineRule="auto"/>
        <w:ind w:left="0" w:firstLine="720"/>
        <w:contextualSpacing w:val="0"/>
        <w:jc w:val="both"/>
        <w:rPr>
          <w:sz w:val="28"/>
          <w:szCs w:val="28"/>
        </w:rPr>
      </w:pPr>
      <w:r>
        <w:rPr>
          <w:sz w:val="28"/>
          <w:szCs w:val="28"/>
        </w:rPr>
        <w:t>Because there was no underlying violation</w:t>
      </w:r>
      <w:r w:rsidR="003A5C31">
        <w:rPr>
          <w:sz w:val="28"/>
          <w:szCs w:val="28"/>
        </w:rPr>
        <w:t xml:space="preserve"> of Compliance Rule 2-5</w:t>
      </w:r>
      <w:r>
        <w:rPr>
          <w:sz w:val="28"/>
          <w:szCs w:val="28"/>
        </w:rPr>
        <w:t xml:space="preserve"> by </w:t>
      </w:r>
      <w:r w:rsidR="00300A11">
        <w:rPr>
          <w:sz w:val="28"/>
          <w:szCs w:val="28"/>
        </w:rPr>
        <w:t xml:space="preserve">ILQ, </w:t>
      </w:r>
      <w:r>
        <w:rPr>
          <w:sz w:val="28"/>
          <w:szCs w:val="28"/>
        </w:rPr>
        <w:t xml:space="preserve">Tanner </w:t>
      </w:r>
      <w:r w:rsidR="00300A11">
        <w:rPr>
          <w:sz w:val="28"/>
          <w:szCs w:val="28"/>
        </w:rPr>
        <w:t xml:space="preserve">or </w:t>
      </w:r>
      <w:r>
        <w:rPr>
          <w:sz w:val="28"/>
          <w:szCs w:val="28"/>
        </w:rPr>
        <w:t xml:space="preserve">Krier, Pieron </w:t>
      </w:r>
      <w:r w:rsidR="00313143">
        <w:rPr>
          <w:sz w:val="28"/>
          <w:szCs w:val="28"/>
        </w:rPr>
        <w:t xml:space="preserve">could not have </w:t>
      </w:r>
      <w:r>
        <w:rPr>
          <w:sz w:val="28"/>
          <w:szCs w:val="28"/>
        </w:rPr>
        <w:t>violate</w:t>
      </w:r>
      <w:r w:rsidR="00313143">
        <w:rPr>
          <w:sz w:val="28"/>
          <w:szCs w:val="28"/>
        </w:rPr>
        <w:t>d</w:t>
      </w:r>
      <w:r>
        <w:rPr>
          <w:sz w:val="28"/>
          <w:szCs w:val="28"/>
        </w:rPr>
        <w:t xml:space="preserve"> Compliance Rule 2-36(e) by failing to supervise.</w:t>
      </w:r>
      <w:r w:rsidR="00963199">
        <w:rPr>
          <w:sz w:val="28"/>
          <w:szCs w:val="28"/>
        </w:rPr>
        <w:t xml:space="preserve">  </w:t>
      </w:r>
      <w:r w:rsidR="00E2172A">
        <w:rPr>
          <w:sz w:val="28"/>
          <w:szCs w:val="28"/>
        </w:rPr>
        <w:t>Rather than having acted with deliberate indifference, Pieron carried out his supervisory responsibilities</w:t>
      </w:r>
      <w:r w:rsidR="00E82DF8">
        <w:rPr>
          <w:sz w:val="28"/>
          <w:szCs w:val="28"/>
        </w:rPr>
        <w:t xml:space="preserve"> with care</w:t>
      </w:r>
      <w:r w:rsidR="00E108FE">
        <w:rPr>
          <w:sz w:val="28"/>
          <w:szCs w:val="28"/>
        </w:rPr>
        <w:t>.  His conduct was reasonable under any interpretation of his duties.</w:t>
      </w:r>
    </w:p>
    <w:p w:rsidR="00320430" w:rsidRPr="00320430" w:rsidRDefault="00320430" w:rsidP="00AF0A5E">
      <w:pPr>
        <w:contextualSpacing/>
        <w:jc w:val="both"/>
        <w:rPr>
          <w:b/>
          <w:sz w:val="28"/>
          <w:szCs w:val="28"/>
        </w:rPr>
      </w:pPr>
      <w:r w:rsidRPr="00320430">
        <w:rPr>
          <w:b/>
          <w:sz w:val="28"/>
          <w:szCs w:val="28"/>
        </w:rPr>
        <w:t>The NFA Complaint Attempt</w:t>
      </w:r>
      <w:r w:rsidR="00AF04A4">
        <w:rPr>
          <w:b/>
          <w:sz w:val="28"/>
          <w:szCs w:val="28"/>
        </w:rPr>
        <w:t>s</w:t>
      </w:r>
      <w:r w:rsidRPr="00320430">
        <w:rPr>
          <w:b/>
          <w:sz w:val="28"/>
          <w:szCs w:val="28"/>
        </w:rPr>
        <w:t xml:space="preserve"> </w:t>
      </w:r>
    </w:p>
    <w:p w:rsidR="00320430" w:rsidRDefault="00320430" w:rsidP="00AF0A5E">
      <w:pPr>
        <w:contextualSpacing/>
        <w:jc w:val="both"/>
        <w:rPr>
          <w:b/>
          <w:sz w:val="28"/>
          <w:szCs w:val="28"/>
          <w:u w:val="single"/>
        </w:rPr>
      </w:pPr>
      <w:r>
        <w:rPr>
          <w:b/>
          <w:sz w:val="28"/>
          <w:szCs w:val="28"/>
          <w:u w:val="single"/>
        </w:rPr>
        <w:t>to Tarnish by Irrelevancies</w:t>
      </w:r>
    </w:p>
    <w:p w:rsidR="00320430" w:rsidRPr="00320430" w:rsidRDefault="00320430" w:rsidP="00AF0A5E">
      <w:pPr>
        <w:contextualSpacing/>
        <w:jc w:val="both"/>
        <w:rPr>
          <w:b/>
          <w:sz w:val="28"/>
          <w:szCs w:val="28"/>
          <w:u w:val="single"/>
        </w:rPr>
      </w:pPr>
    </w:p>
    <w:p w:rsidR="005A1810" w:rsidRDefault="00963199" w:rsidP="00AF0A5E">
      <w:pPr>
        <w:pStyle w:val="ListParagraph"/>
        <w:numPr>
          <w:ilvl w:val="0"/>
          <w:numId w:val="13"/>
        </w:numPr>
        <w:spacing w:after="240" w:line="480" w:lineRule="auto"/>
        <w:ind w:left="0" w:firstLine="720"/>
        <w:jc w:val="both"/>
        <w:rPr>
          <w:sz w:val="28"/>
          <w:szCs w:val="28"/>
        </w:rPr>
      </w:pPr>
      <w:r>
        <w:rPr>
          <w:sz w:val="28"/>
          <w:szCs w:val="28"/>
        </w:rPr>
        <w:t>A</w:t>
      </w:r>
      <w:r w:rsidR="00365339" w:rsidRPr="00AF71A1">
        <w:rPr>
          <w:sz w:val="28"/>
          <w:szCs w:val="28"/>
        </w:rPr>
        <w:t xml:space="preserve">llegations in </w:t>
      </w:r>
      <w:r>
        <w:rPr>
          <w:sz w:val="28"/>
          <w:szCs w:val="28"/>
        </w:rPr>
        <w:t>paragraphs 6-</w:t>
      </w:r>
      <w:r w:rsidR="00D93F38">
        <w:rPr>
          <w:sz w:val="28"/>
          <w:szCs w:val="28"/>
        </w:rPr>
        <w:t>10</w:t>
      </w:r>
      <w:r w:rsidR="000B196B">
        <w:rPr>
          <w:sz w:val="28"/>
          <w:szCs w:val="28"/>
        </w:rPr>
        <w:t xml:space="preserve">, </w:t>
      </w:r>
      <w:r w:rsidR="000B2355">
        <w:rPr>
          <w:sz w:val="28"/>
          <w:szCs w:val="28"/>
        </w:rPr>
        <w:t>13</w:t>
      </w:r>
      <w:r w:rsidR="000B196B">
        <w:rPr>
          <w:sz w:val="28"/>
          <w:szCs w:val="28"/>
        </w:rPr>
        <w:t xml:space="preserve"> and 24</w:t>
      </w:r>
      <w:r w:rsidR="00365339" w:rsidRPr="00AF71A1">
        <w:rPr>
          <w:sz w:val="28"/>
          <w:szCs w:val="28"/>
        </w:rPr>
        <w:t xml:space="preserve"> </w:t>
      </w:r>
      <w:r w:rsidR="00E4093C" w:rsidRPr="00AF71A1">
        <w:rPr>
          <w:sz w:val="28"/>
          <w:szCs w:val="28"/>
        </w:rPr>
        <w:t>of the Complaint</w:t>
      </w:r>
      <w:r w:rsidR="000B2355">
        <w:rPr>
          <w:sz w:val="28"/>
          <w:szCs w:val="28"/>
        </w:rPr>
        <w:t xml:space="preserve"> </w:t>
      </w:r>
      <w:r w:rsidR="00365339" w:rsidRPr="00AF71A1">
        <w:rPr>
          <w:sz w:val="28"/>
          <w:szCs w:val="28"/>
        </w:rPr>
        <w:t xml:space="preserve">have </w:t>
      </w:r>
      <w:r w:rsidR="00365339" w:rsidRPr="00C976B3">
        <w:rPr>
          <w:b/>
          <w:sz w:val="28"/>
          <w:szCs w:val="28"/>
        </w:rPr>
        <w:t xml:space="preserve">no </w:t>
      </w:r>
      <w:r w:rsidR="00C976B3" w:rsidRPr="00C976B3">
        <w:rPr>
          <w:b/>
          <w:sz w:val="28"/>
          <w:szCs w:val="28"/>
        </w:rPr>
        <w:t>applicability</w:t>
      </w:r>
      <w:r w:rsidR="00365339" w:rsidRPr="00AF71A1">
        <w:rPr>
          <w:sz w:val="28"/>
          <w:szCs w:val="28"/>
        </w:rPr>
        <w:t xml:space="preserve"> to the </w:t>
      </w:r>
      <w:r w:rsidR="00930568">
        <w:rPr>
          <w:sz w:val="28"/>
          <w:szCs w:val="28"/>
        </w:rPr>
        <w:t xml:space="preserve">alleged violations, and the NFA uses those </w:t>
      </w:r>
      <w:r w:rsidR="00930568" w:rsidRPr="00C976B3">
        <w:rPr>
          <w:b/>
          <w:sz w:val="28"/>
          <w:szCs w:val="28"/>
        </w:rPr>
        <w:t>irrelevancies</w:t>
      </w:r>
      <w:r w:rsidR="00930568">
        <w:rPr>
          <w:sz w:val="28"/>
          <w:szCs w:val="28"/>
        </w:rPr>
        <w:t xml:space="preserve"> in an effort </w:t>
      </w:r>
      <w:r w:rsidR="00930568" w:rsidRPr="00C976B3">
        <w:rPr>
          <w:b/>
          <w:sz w:val="28"/>
          <w:szCs w:val="28"/>
        </w:rPr>
        <w:t>to tarnish</w:t>
      </w:r>
      <w:r w:rsidR="00930568">
        <w:rPr>
          <w:sz w:val="28"/>
          <w:szCs w:val="28"/>
        </w:rPr>
        <w:t xml:space="preserve"> the respondents. </w:t>
      </w:r>
      <w:r w:rsidR="00206068">
        <w:rPr>
          <w:sz w:val="28"/>
          <w:szCs w:val="28"/>
        </w:rPr>
        <w:t xml:space="preserve"> </w:t>
      </w:r>
      <w:r w:rsidR="00FE407A">
        <w:rPr>
          <w:sz w:val="28"/>
          <w:szCs w:val="28"/>
        </w:rPr>
        <w:t xml:space="preserve">The </w:t>
      </w:r>
      <w:r w:rsidR="00F96237">
        <w:rPr>
          <w:sz w:val="28"/>
          <w:szCs w:val="28"/>
        </w:rPr>
        <w:t xml:space="preserve">NFA’s </w:t>
      </w:r>
      <w:r w:rsidR="00FE407A">
        <w:rPr>
          <w:sz w:val="28"/>
          <w:szCs w:val="28"/>
        </w:rPr>
        <w:t xml:space="preserve">allegations and alleged suspicions regarding </w:t>
      </w:r>
      <w:r w:rsidR="0099105D">
        <w:rPr>
          <w:sz w:val="28"/>
          <w:szCs w:val="28"/>
        </w:rPr>
        <w:t xml:space="preserve">(1) </w:t>
      </w:r>
      <w:r w:rsidR="000B196B">
        <w:rPr>
          <w:sz w:val="28"/>
          <w:szCs w:val="28"/>
        </w:rPr>
        <w:t xml:space="preserve">Trevor </w:t>
      </w:r>
      <w:r w:rsidR="00FE407A">
        <w:rPr>
          <w:sz w:val="28"/>
          <w:szCs w:val="28"/>
        </w:rPr>
        <w:t>Cook</w:t>
      </w:r>
      <w:r w:rsidR="00163E27">
        <w:rPr>
          <w:sz w:val="28"/>
          <w:szCs w:val="28"/>
        </w:rPr>
        <w:t>,</w:t>
      </w:r>
      <w:r w:rsidR="00FE407A">
        <w:rPr>
          <w:sz w:val="28"/>
          <w:szCs w:val="28"/>
        </w:rPr>
        <w:t xml:space="preserve"> </w:t>
      </w:r>
      <w:r w:rsidR="0099105D">
        <w:rPr>
          <w:sz w:val="28"/>
          <w:szCs w:val="28"/>
        </w:rPr>
        <w:t xml:space="preserve">(2) </w:t>
      </w:r>
      <w:r w:rsidR="00163E27">
        <w:rPr>
          <w:sz w:val="28"/>
          <w:szCs w:val="28"/>
        </w:rPr>
        <w:t xml:space="preserve">the Martinez family and </w:t>
      </w:r>
      <w:r w:rsidR="0099105D">
        <w:rPr>
          <w:sz w:val="28"/>
          <w:szCs w:val="28"/>
        </w:rPr>
        <w:t xml:space="preserve">(3) </w:t>
      </w:r>
      <w:r w:rsidR="00163E27">
        <w:rPr>
          <w:sz w:val="28"/>
          <w:szCs w:val="28"/>
        </w:rPr>
        <w:t>David Smith lack credibility</w:t>
      </w:r>
      <w:r w:rsidR="00C05848">
        <w:rPr>
          <w:sz w:val="28"/>
          <w:szCs w:val="28"/>
        </w:rPr>
        <w:t xml:space="preserve"> and </w:t>
      </w:r>
      <w:r w:rsidR="002720F5" w:rsidRPr="00AF71A1">
        <w:rPr>
          <w:sz w:val="28"/>
          <w:szCs w:val="28"/>
        </w:rPr>
        <w:t>are superfluous</w:t>
      </w:r>
      <w:r w:rsidR="00E108FE">
        <w:rPr>
          <w:sz w:val="28"/>
          <w:szCs w:val="28"/>
        </w:rPr>
        <w:t xml:space="preserve">.  </w:t>
      </w:r>
      <w:r w:rsidR="002720F5">
        <w:rPr>
          <w:sz w:val="28"/>
          <w:szCs w:val="28"/>
        </w:rPr>
        <w:t xml:space="preserve">  </w:t>
      </w:r>
    </w:p>
    <w:p w:rsidR="0079108B" w:rsidRDefault="005A1810" w:rsidP="00AF0A5E">
      <w:pPr>
        <w:pStyle w:val="ListParagraph"/>
        <w:numPr>
          <w:ilvl w:val="0"/>
          <w:numId w:val="13"/>
        </w:numPr>
        <w:spacing w:after="240" w:line="480" w:lineRule="auto"/>
        <w:ind w:left="0" w:firstLine="720"/>
        <w:jc w:val="both"/>
        <w:rPr>
          <w:sz w:val="28"/>
          <w:szCs w:val="28"/>
        </w:rPr>
      </w:pPr>
      <w:r>
        <w:rPr>
          <w:sz w:val="28"/>
          <w:szCs w:val="28"/>
        </w:rPr>
        <w:t xml:space="preserve">As to the NFA’s expressed suspicions regarding </w:t>
      </w:r>
      <w:r w:rsidRPr="0099105D">
        <w:rPr>
          <w:b/>
          <w:sz w:val="28"/>
          <w:szCs w:val="28"/>
        </w:rPr>
        <w:t>Trevor Cook</w:t>
      </w:r>
      <w:r>
        <w:rPr>
          <w:sz w:val="28"/>
          <w:szCs w:val="28"/>
        </w:rPr>
        <w:t xml:space="preserve"> and Pieron, certainly the NFA kn</w:t>
      </w:r>
      <w:r w:rsidR="005C5D31">
        <w:rPr>
          <w:sz w:val="28"/>
          <w:szCs w:val="28"/>
        </w:rPr>
        <w:t>e</w:t>
      </w:r>
      <w:r>
        <w:rPr>
          <w:sz w:val="28"/>
          <w:szCs w:val="28"/>
        </w:rPr>
        <w:t xml:space="preserve">w that: </w:t>
      </w:r>
      <w:r w:rsidR="0079108B">
        <w:rPr>
          <w:sz w:val="28"/>
          <w:szCs w:val="28"/>
        </w:rPr>
        <w:tab/>
      </w:r>
    </w:p>
    <w:p w:rsidR="0079108B" w:rsidRDefault="00454B38" w:rsidP="00AF0A5E">
      <w:pPr>
        <w:pStyle w:val="ListParagraph"/>
        <w:numPr>
          <w:ilvl w:val="1"/>
          <w:numId w:val="15"/>
        </w:numPr>
        <w:spacing w:after="240"/>
        <w:ind w:left="0" w:firstLine="1440"/>
        <w:contextualSpacing w:val="0"/>
        <w:jc w:val="both"/>
        <w:rPr>
          <w:sz w:val="28"/>
          <w:szCs w:val="28"/>
        </w:rPr>
      </w:pPr>
      <w:r>
        <w:rPr>
          <w:sz w:val="28"/>
          <w:szCs w:val="28"/>
        </w:rPr>
        <w:t>In a</w:t>
      </w:r>
      <w:r w:rsidR="00303076">
        <w:rPr>
          <w:sz w:val="28"/>
          <w:szCs w:val="28"/>
        </w:rPr>
        <w:t xml:space="preserve"> 20</w:t>
      </w:r>
      <w:r w:rsidR="006B48DC">
        <w:rPr>
          <w:sz w:val="28"/>
          <w:szCs w:val="28"/>
        </w:rPr>
        <w:t>07</w:t>
      </w:r>
      <w:r>
        <w:rPr>
          <w:sz w:val="28"/>
          <w:szCs w:val="28"/>
        </w:rPr>
        <w:t xml:space="preserve"> arm’s length transaction, </w:t>
      </w:r>
      <w:r w:rsidR="000C77A6">
        <w:rPr>
          <w:sz w:val="28"/>
          <w:szCs w:val="28"/>
        </w:rPr>
        <w:t>Cook purchased an interest in Pieron’s company</w:t>
      </w:r>
      <w:r w:rsidR="00626D13">
        <w:rPr>
          <w:sz w:val="28"/>
          <w:szCs w:val="28"/>
        </w:rPr>
        <w:t xml:space="preserve"> (JDFX Holding)</w:t>
      </w:r>
      <w:r w:rsidR="000C77A6">
        <w:rPr>
          <w:sz w:val="28"/>
          <w:szCs w:val="28"/>
        </w:rPr>
        <w:t xml:space="preserve"> which developed trading</w:t>
      </w:r>
      <w:r w:rsidR="00483E1F">
        <w:rPr>
          <w:sz w:val="28"/>
          <w:szCs w:val="28"/>
        </w:rPr>
        <w:t xml:space="preserve"> technologies</w:t>
      </w:r>
      <w:r w:rsidR="000C77A6">
        <w:rPr>
          <w:sz w:val="28"/>
          <w:szCs w:val="28"/>
        </w:rPr>
        <w:t xml:space="preserve">, </w:t>
      </w:r>
    </w:p>
    <w:p w:rsidR="00D00FA9" w:rsidRDefault="00D00FA9" w:rsidP="00AF0A5E">
      <w:pPr>
        <w:pStyle w:val="ListParagraph"/>
        <w:numPr>
          <w:ilvl w:val="1"/>
          <w:numId w:val="15"/>
        </w:numPr>
        <w:spacing w:after="240"/>
        <w:ind w:left="0" w:firstLine="1440"/>
        <w:contextualSpacing w:val="0"/>
        <w:jc w:val="both"/>
        <w:rPr>
          <w:sz w:val="28"/>
          <w:szCs w:val="28"/>
        </w:rPr>
      </w:pPr>
      <w:r>
        <w:rPr>
          <w:sz w:val="28"/>
          <w:szCs w:val="28"/>
        </w:rPr>
        <w:lastRenderedPageBreak/>
        <w:t>Cook’s conduct</w:t>
      </w:r>
      <w:r w:rsidR="006B48DC">
        <w:rPr>
          <w:sz w:val="28"/>
          <w:szCs w:val="28"/>
        </w:rPr>
        <w:t xml:space="preserve">, independent of his purchase of an interest in JDFX, </w:t>
      </w:r>
      <w:r>
        <w:rPr>
          <w:sz w:val="28"/>
          <w:szCs w:val="28"/>
        </w:rPr>
        <w:t>was investigated by multiple federal and state criminal and civil authorities.  He was indicted by a federal grand jury and named in an S.E.C. lawsuit and a CFTC action,</w:t>
      </w:r>
    </w:p>
    <w:p w:rsidR="00303076" w:rsidRPr="00E34C15" w:rsidRDefault="00FE407A" w:rsidP="00AF0A5E">
      <w:pPr>
        <w:pStyle w:val="ListParagraph"/>
        <w:numPr>
          <w:ilvl w:val="1"/>
          <w:numId w:val="15"/>
        </w:numPr>
        <w:spacing w:after="240"/>
        <w:ind w:left="0" w:firstLine="1440"/>
        <w:contextualSpacing w:val="0"/>
        <w:jc w:val="both"/>
        <w:rPr>
          <w:sz w:val="28"/>
          <w:szCs w:val="28"/>
        </w:rPr>
      </w:pPr>
      <w:r w:rsidRPr="00E34C15">
        <w:rPr>
          <w:sz w:val="28"/>
          <w:szCs w:val="28"/>
        </w:rPr>
        <w:t>Cook’s ass</w:t>
      </w:r>
      <w:r w:rsidR="00E54140" w:rsidRPr="00E34C15">
        <w:rPr>
          <w:sz w:val="28"/>
          <w:szCs w:val="28"/>
        </w:rPr>
        <w:t xml:space="preserve">ets </w:t>
      </w:r>
      <w:r w:rsidR="00303076" w:rsidRPr="00E34C15">
        <w:rPr>
          <w:sz w:val="28"/>
          <w:szCs w:val="28"/>
        </w:rPr>
        <w:t xml:space="preserve">were </w:t>
      </w:r>
      <w:r w:rsidR="00FF04EE" w:rsidRPr="00E34C15">
        <w:rPr>
          <w:sz w:val="28"/>
          <w:szCs w:val="28"/>
        </w:rPr>
        <w:t xml:space="preserve">seized and </w:t>
      </w:r>
      <w:r w:rsidR="00E54140" w:rsidRPr="00E34C15">
        <w:rPr>
          <w:sz w:val="28"/>
          <w:szCs w:val="28"/>
        </w:rPr>
        <w:t xml:space="preserve">frozen </w:t>
      </w:r>
      <w:r w:rsidR="00303076" w:rsidRPr="00E34C15">
        <w:rPr>
          <w:sz w:val="28"/>
          <w:szCs w:val="28"/>
        </w:rPr>
        <w:t>by the U.S. government</w:t>
      </w:r>
      <w:r w:rsidR="004A64E2" w:rsidRPr="00E34C15">
        <w:rPr>
          <w:sz w:val="28"/>
          <w:szCs w:val="28"/>
        </w:rPr>
        <w:t xml:space="preserve"> </w:t>
      </w:r>
      <w:r w:rsidR="00B304FF" w:rsidRPr="00E34C15">
        <w:rPr>
          <w:sz w:val="28"/>
          <w:szCs w:val="28"/>
        </w:rPr>
        <w:t xml:space="preserve">stripping </w:t>
      </w:r>
      <w:r w:rsidR="00FF04EE" w:rsidRPr="00E34C15">
        <w:rPr>
          <w:sz w:val="28"/>
          <w:szCs w:val="28"/>
        </w:rPr>
        <w:t xml:space="preserve">him </w:t>
      </w:r>
      <w:r w:rsidR="00B304FF" w:rsidRPr="00E34C15">
        <w:rPr>
          <w:sz w:val="28"/>
          <w:szCs w:val="28"/>
        </w:rPr>
        <w:t xml:space="preserve">of his </w:t>
      </w:r>
      <w:r w:rsidR="002241C7" w:rsidRPr="00E34C15">
        <w:rPr>
          <w:sz w:val="28"/>
          <w:szCs w:val="28"/>
        </w:rPr>
        <w:t>wealth</w:t>
      </w:r>
      <w:r w:rsidR="00E54140" w:rsidRPr="00E34C15">
        <w:rPr>
          <w:sz w:val="28"/>
          <w:szCs w:val="28"/>
        </w:rPr>
        <w:t>,</w:t>
      </w:r>
      <w:r w:rsidR="00E34C15" w:rsidRPr="00E34C15">
        <w:rPr>
          <w:sz w:val="28"/>
          <w:szCs w:val="28"/>
        </w:rPr>
        <w:t xml:space="preserve"> and his assets and </w:t>
      </w:r>
      <w:r w:rsidR="00303076" w:rsidRPr="00E34C15">
        <w:rPr>
          <w:sz w:val="28"/>
          <w:szCs w:val="28"/>
        </w:rPr>
        <w:t>those of his enterprises ha</w:t>
      </w:r>
      <w:r w:rsidR="004A64E2" w:rsidRPr="00E34C15">
        <w:rPr>
          <w:sz w:val="28"/>
          <w:szCs w:val="28"/>
        </w:rPr>
        <w:t>ve</w:t>
      </w:r>
      <w:r w:rsidR="00303076" w:rsidRPr="00E34C15">
        <w:rPr>
          <w:sz w:val="28"/>
          <w:szCs w:val="28"/>
        </w:rPr>
        <w:t xml:space="preserve"> been the subject of </w:t>
      </w:r>
      <w:r w:rsidR="004A64E2" w:rsidRPr="00E34C15">
        <w:rPr>
          <w:sz w:val="28"/>
          <w:szCs w:val="28"/>
        </w:rPr>
        <w:t xml:space="preserve">a </w:t>
      </w:r>
      <w:r w:rsidR="00303076" w:rsidRPr="00E34C15">
        <w:rPr>
          <w:sz w:val="28"/>
          <w:szCs w:val="28"/>
        </w:rPr>
        <w:t>liquidation proceeding by a federal court appointed receiver,</w:t>
      </w:r>
    </w:p>
    <w:p w:rsidR="0079108B" w:rsidRDefault="00A57324" w:rsidP="00AF0A5E">
      <w:pPr>
        <w:pStyle w:val="ListParagraph"/>
        <w:numPr>
          <w:ilvl w:val="1"/>
          <w:numId w:val="15"/>
        </w:numPr>
        <w:spacing w:after="240"/>
        <w:ind w:left="0" w:firstLine="1440"/>
        <w:contextualSpacing w:val="0"/>
        <w:jc w:val="both"/>
        <w:rPr>
          <w:sz w:val="28"/>
          <w:szCs w:val="28"/>
        </w:rPr>
      </w:pPr>
      <w:r>
        <w:rPr>
          <w:sz w:val="28"/>
          <w:szCs w:val="28"/>
        </w:rPr>
        <w:t>In 2010, Pi</w:t>
      </w:r>
      <w:r w:rsidR="00A93FD1">
        <w:rPr>
          <w:sz w:val="28"/>
          <w:szCs w:val="28"/>
        </w:rPr>
        <w:t xml:space="preserve">eron voluntarily submitted to an interview by a multi-agency governmental task force investigating Cook.  </w:t>
      </w:r>
      <w:r w:rsidR="00AD23A0">
        <w:rPr>
          <w:sz w:val="28"/>
          <w:szCs w:val="28"/>
        </w:rPr>
        <w:t xml:space="preserve">Pieron </w:t>
      </w:r>
      <w:proofErr w:type="gramStart"/>
      <w:r w:rsidR="00AD23A0">
        <w:rPr>
          <w:sz w:val="28"/>
          <w:szCs w:val="28"/>
        </w:rPr>
        <w:t xml:space="preserve">has </w:t>
      </w:r>
      <w:r w:rsidR="00AD23A0" w:rsidRPr="007968AB">
        <w:rPr>
          <w:b/>
          <w:sz w:val="28"/>
          <w:szCs w:val="28"/>
        </w:rPr>
        <w:t>never</w:t>
      </w:r>
      <w:r w:rsidR="00AD23A0">
        <w:rPr>
          <w:sz w:val="28"/>
          <w:szCs w:val="28"/>
        </w:rPr>
        <w:t xml:space="preserve"> been called</w:t>
      </w:r>
      <w:proofErr w:type="gramEnd"/>
      <w:r w:rsidR="00AD23A0">
        <w:rPr>
          <w:sz w:val="28"/>
          <w:szCs w:val="28"/>
        </w:rPr>
        <w:t xml:space="preserve"> to testify</w:t>
      </w:r>
      <w:r w:rsidR="002C2130">
        <w:rPr>
          <w:sz w:val="28"/>
          <w:szCs w:val="28"/>
        </w:rPr>
        <w:t xml:space="preserve"> regarding his relationship with Cook</w:t>
      </w:r>
      <w:r w:rsidR="00385D6B">
        <w:rPr>
          <w:sz w:val="28"/>
          <w:szCs w:val="28"/>
        </w:rPr>
        <w:t xml:space="preserve"> or Cook’s enterprises</w:t>
      </w:r>
      <w:r w:rsidR="00A93FD1">
        <w:rPr>
          <w:sz w:val="28"/>
          <w:szCs w:val="28"/>
        </w:rPr>
        <w:t>.</w:t>
      </w:r>
      <w:r w:rsidR="00355180">
        <w:rPr>
          <w:sz w:val="28"/>
          <w:szCs w:val="28"/>
        </w:rPr>
        <w:t xml:space="preserve"> </w:t>
      </w:r>
    </w:p>
    <w:p w:rsidR="0079108B" w:rsidRDefault="00A93FD1" w:rsidP="00AF0A5E">
      <w:pPr>
        <w:pStyle w:val="ListParagraph"/>
        <w:numPr>
          <w:ilvl w:val="1"/>
          <w:numId w:val="15"/>
        </w:numPr>
        <w:spacing w:after="240"/>
        <w:ind w:left="0" w:firstLine="1440"/>
        <w:contextualSpacing w:val="0"/>
        <w:jc w:val="both"/>
        <w:rPr>
          <w:sz w:val="28"/>
          <w:szCs w:val="28"/>
        </w:rPr>
      </w:pPr>
      <w:r>
        <w:rPr>
          <w:sz w:val="28"/>
          <w:szCs w:val="28"/>
        </w:rPr>
        <w:t xml:space="preserve">Since 2010, </w:t>
      </w:r>
      <w:r w:rsidR="00AD23A0">
        <w:rPr>
          <w:sz w:val="28"/>
          <w:szCs w:val="28"/>
        </w:rPr>
        <w:t>Cook has been incarcerated and his sentence extends over the next two decades</w:t>
      </w:r>
      <w:r w:rsidR="00FE6071">
        <w:rPr>
          <w:sz w:val="28"/>
          <w:szCs w:val="28"/>
        </w:rPr>
        <w:t xml:space="preserve">. </w:t>
      </w:r>
    </w:p>
    <w:p w:rsidR="00055ACA" w:rsidRDefault="00355180" w:rsidP="00AF0A5E">
      <w:pPr>
        <w:spacing w:line="480" w:lineRule="auto"/>
        <w:contextualSpacing/>
        <w:jc w:val="both"/>
        <w:rPr>
          <w:sz w:val="28"/>
          <w:szCs w:val="28"/>
        </w:rPr>
      </w:pPr>
      <w:r>
        <w:rPr>
          <w:sz w:val="28"/>
          <w:szCs w:val="28"/>
        </w:rPr>
        <w:t>With knowledge of these facts, n</w:t>
      </w:r>
      <w:r w:rsidR="002515C7" w:rsidRPr="0079108B">
        <w:rPr>
          <w:sz w:val="28"/>
          <w:szCs w:val="28"/>
        </w:rPr>
        <w:t>o one could reasonably conclude that Cook</w:t>
      </w:r>
      <w:r w:rsidR="00454B38">
        <w:rPr>
          <w:sz w:val="28"/>
          <w:szCs w:val="28"/>
        </w:rPr>
        <w:t xml:space="preserve"> had or </w:t>
      </w:r>
      <w:r w:rsidR="002515C7" w:rsidRPr="0079108B">
        <w:rPr>
          <w:sz w:val="28"/>
          <w:szCs w:val="28"/>
        </w:rPr>
        <w:t xml:space="preserve">has </w:t>
      </w:r>
      <w:r w:rsidR="00454B38">
        <w:rPr>
          <w:sz w:val="28"/>
          <w:szCs w:val="28"/>
        </w:rPr>
        <w:t xml:space="preserve">any </w:t>
      </w:r>
      <w:r w:rsidR="002515C7" w:rsidRPr="0079108B">
        <w:rPr>
          <w:sz w:val="28"/>
          <w:szCs w:val="28"/>
        </w:rPr>
        <w:t xml:space="preserve">relationship with </w:t>
      </w:r>
      <w:r>
        <w:rPr>
          <w:sz w:val="28"/>
          <w:szCs w:val="28"/>
        </w:rPr>
        <w:t>ILQ, Pieron</w:t>
      </w:r>
      <w:r w:rsidR="00055ACA">
        <w:rPr>
          <w:sz w:val="28"/>
          <w:szCs w:val="28"/>
        </w:rPr>
        <w:t xml:space="preserve">, </w:t>
      </w:r>
      <w:r w:rsidR="00C36003">
        <w:rPr>
          <w:sz w:val="28"/>
          <w:szCs w:val="28"/>
        </w:rPr>
        <w:t>HA/HMcP</w:t>
      </w:r>
      <w:r>
        <w:rPr>
          <w:sz w:val="28"/>
          <w:szCs w:val="28"/>
        </w:rPr>
        <w:t xml:space="preserve"> or </w:t>
      </w:r>
      <w:r w:rsidR="002515C7" w:rsidRPr="0079108B">
        <w:rPr>
          <w:sz w:val="28"/>
          <w:szCs w:val="28"/>
        </w:rPr>
        <w:t xml:space="preserve">anyone </w:t>
      </w:r>
      <w:r>
        <w:rPr>
          <w:sz w:val="28"/>
          <w:szCs w:val="28"/>
        </w:rPr>
        <w:t xml:space="preserve">else </w:t>
      </w:r>
      <w:r w:rsidR="007968AB">
        <w:rPr>
          <w:sz w:val="28"/>
          <w:szCs w:val="28"/>
        </w:rPr>
        <w:t>since 2010</w:t>
      </w:r>
      <w:r w:rsidR="002515C7" w:rsidRPr="0079108B">
        <w:rPr>
          <w:sz w:val="28"/>
          <w:szCs w:val="28"/>
        </w:rPr>
        <w:t xml:space="preserve">.  </w:t>
      </w:r>
    </w:p>
    <w:p w:rsidR="009133B5" w:rsidRDefault="00E26C40" w:rsidP="00AF0A5E">
      <w:pPr>
        <w:pStyle w:val="ListParagraph"/>
        <w:numPr>
          <w:ilvl w:val="0"/>
          <w:numId w:val="13"/>
        </w:numPr>
        <w:spacing w:line="480" w:lineRule="auto"/>
        <w:ind w:left="0" w:firstLine="720"/>
        <w:jc w:val="both"/>
        <w:rPr>
          <w:sz w:val="28"/>
          <w:szCs w:val="28"/>
        </w:rPr>
      </w:pPr>
      <w:r w:rsidRPr="009133B5">
        <w:rPr>
          <w:sz w:val="28"/>
          <w:szCs w:val="28"/>
        </w:rPr>
        <w:t xml:space="preserve">As to the NFA’s expressed suspicions regarding </w:t>
      </w:r>
      <w:r w:rsidR="0048617E" w:rsidRPr="009133B5">
        <w:rPr>
          <w:sz w:val="28"/>
          <w:szCs w:val="28"/>
        </w:rPr>
        <w:t xml:space="preserve">the </w:t>
      </w:r>
      <w:r w:rsidR="0048617E" w:rsidRPr="007968AB">
        <w:rPr>
          <w:b/>
          <w:sz w:val="28"/>
          <w:szCs w:val="28"/>
        </w:rPr>
        <w:t>Martinez family</w:t>
      </w:r>
      <w:r w:rsidR="0048617E" w:rsidRPr="009133B5">
        <w:rPr>
          <w:sz w:val="28"/>
          <w:szCs w:val="28"/>
        </w:rPr>
        <w:t xml:space="preserve"> and ILQ, </w:t>
      </w:r>
      <w:r w:rsidR="007314A6" w:rsidRPr="009133B5">
        <w:rPr>
          <w:sz w:val="28"/>
          <w:szCs w:val="28"/>
        </w:rPr>
        <w:t>certainly the NFA kn</w:t>
      </w:r>
      <w:r w:rsidR="009133B5" w:rsidRPr="009133B5">
        <w:rPr>
          <w:sz w:val="28"/>
          <w:szCs w:val="28"/>
        </w:rPr>
        <w:t xml:space="preserve">ew that: </w:t>
      </w:r>
    </w:p>
    <w:p w:rsidR="009B07B1" w:rsidRDefault="00F11677" w:rsidP="00AF0A5E">
      <w:pPr>
        <w:pStyle w:val="ListParagraph"/>
        <w:numPr>
          <w:ilvl w:val="1"/>
          <w:numId w:val="16"/>
        </w:numPr>
        <w:spacing w:after="240"/>
        <w:ind w:left="0" w:firstLine="1440"/>
        <w:contextualSpacing w:val="0"/>
        <w:jc w:val="both"/>
        <w:rPr>
          <w:sz w:val="28"/>
          <w:szCs w:val="28"/>
        </w:rPr>
      </w:pPr>
      <w:r>
        <w:rPr>
          <w:sz w:val="28"/>
          <w:szCs w:val="28"/>
        </w:rPr>
        <w:t xml:space="preserve">While ILQ’s predecessor was purchased from the Martinez family, thereafter no member of the family </w:t>
      </w:r>
      <w:r w:rsidR="009B07B1">
        <w:rPr>
          <w:sz w:val="28"/>
          <w:szCs w:val="28"/>
        </w:rPr>
        <w:t>had a continuing interest in IL</w:t>
      </w:r>
      <w:r w:rsidR="009613DD">
        <w:rPr>
          <w:sz w:val="28"/>
          <w:szCs w:val="28"/>
        </w:rPr>
        <w:t>Q,</w:t>
      </w:r>
    </w:p>
    <w:p w:rsidR="009B07B1" w:rsidRDefault="002A0759" w:rsidP="00AF0A5E">
      <w:pPr>
        <w:pStyle w:val="ListParagraph"/>
        <w:numPr>
          <w:ilvl w:val="1"/>
          <w:numId w:val="16"/>
        </w:numPr>
        <w:spacing w:after="240"/>
        <w:ind w:left="0" w:firstLine="1440"/>
        <w:contextualSpacing w:val="0"/>
        <w:jc w:val="both"/>
        <w:rPr>
          <w:sz w:val="28"/>
          <w:szCs w:val="28"/>
        </w:rPr>
      </w:pPr>
      <w:r>
        <w:rPr>
          <w:sz w:val="28"/>
          <w:szCs w:val="28"/>
        </w:rPr>
        <w:t>No member of the Martinez family had or has any interest in ILQ’s, Pieron’s</w:t>
      </w:r>
      <w:r w:rsidR="00316ECF">
        <w:rPr>
          <w:sz w:val="28"/>
          <w:szCs w:val="28"/>
        </w:rPr>
        <w:t xml:space="preserve"> or HA/HMcP’s </w:t>
      </w:r>
      <w:r w:rsidR="009613DD">
        <w:rPr>
          <w:sz w:val="28"/>
          <w:szCs w:val="28"/>
        </w:rPr>
        <w:t>financial affairs</w:t>
      </w:r>
      <w:r w:rsidR="00316ECF">
        <w:rPr>
          <w:sz w:val="28"/>
          <w:szCs w:val="28"/>
        </w:rPr>
        <w:t>.</w:t>
      </w:r>
    </w:p>
    <w:p w:rsidR="008F1503" w:rsidRPr="008F1503" w:rsidRDefault="008F1503" w:rsidP="00AF0A5E">
      <w:pPr>
        <w:spacing w:line="480" w:lineRule="auto"/>
        <w:contextualSpacing/>
        <w:jc w:val="both"/>
        <w:rPr>
          <w:sz w:val="28"/>
          <w:szCs w:val="28"/>
        </w:rPr>
      </w:pPr>
      <w:r>
        <w:rPr>
          <w:sz w:val="28"/>
          <w:szCs w:val="28"/>
        </w:rPr>
        <w:t>With knowledge of tho</w:t>
      </w:r>
      <w:r w:rsidRPr="008F1503">
        <w:rPr>
          <w:sz w:val="28"/>
          <w:szCs w:val="28"/>
        </w:rPr>
        <w:t xml:space="preserve">se facts, no one could reasonably conclude that </w:t>
      </w:r>
      <w:r>
        <w:rPr>
          <w:sz w:val="28"/>
          <w:szCs w:val="28"/>
        </w:rPr>
        <w:t xml:space="preserve">the Martinez family </w:t>
      </w:r>
      <w:r w:rsidRPr="008F1503">
        <w:rPr>
          <w:sz w:val="28"/>
          <w:szCs w:val="28"/>
        </w:rPr>
        <w:t>had or has any relationship with ILQ, Pieron</w:t>
      </w:r>
      <w:r w:rsidR="00316ECF">
        <w:rPr>
          <w:sz w:val="28"/>
          <w:szCs w:val="28"/>
        </w:rPr>
        <w:t xml:space="preserve"> or HA/HMcP</w:t>
      </w:r>
      <w:r w:rsidRPr="008F1503">
        <w:rPr>
          <w:sz w:val="28"/>
          <w:szCs w:val="28"/>
        </w:rPr>
        <w:t xml:space="preserve">.  </w:t>
      </w:r>
    </w:p>
    <w:p w:rsidR="00E26AA9" w:rsidRPr="00E26AA9" w:rsidRDefault="00812B9D" w:rsidP="00AF0A5E">
      <w:pPr>
        <w:pStyle w:val="ListParagraph"/>
        <w:numPr>
          <w:ilvl w:val="0"/>
          <w:numId w:val="13"/>
        </w:numPr>
        <w:spacing w:line="480" w:lineRule="auto"/>
        <w:ind w:left="0" w:firstLine="720"/>
        <w:jc w:val="both"/>
        <w:rPr>
          <w:sz w:val="28"/>
          <w:szCs w:val="28"/>
        </w:rPr>
      </w:pPr>
      <w:r w:rsidRPr="00E26AA9">
        <w:rPr>
          <w:sz w:val="28"/>
          <w:szCs w:val="28"/>
        </w:rPr>
        <w:t xml:space="preserve">As to the NFA’s expressed suspicions regarding </w:t>
      </w:r>
      <w:r w:rsidRPr="00876FB1">
        <w:rPr>
          <w:b/>
          <w:sz w:val="28"/>
          <w:szCs w:val="28"/>
        </w:rPr>
        <w:t>David Smith</w:t>
      </w:r>
      <w:r w:rsidR="00CA6279" w:rsidRPr="00E26AA9">
        <w:rPr>
          <w:sz w:val="28"/>
          <w:szCs w:val="28"/>
        </w:rPr>
        <w:t xml:space="preserve"> and ILQ, no one at ILQ has met or had any communication with Smith</w:t>
      </w:r>
      <w:r w:rsidR="005641B4">
        <w:rPr>
          <w:sz w:val="28"/>
          <w:szCs w:val="28"/>
        </w:rPr>
        <w:t xml:space="preserve"> and </w:t>
      </w:r>
      <w:r w:rsidR="005641B4" w:rsidRPr="00E26AA9">
        <w:rPr>
          <w:sz w:val="28"/>
          <w:szCs w:val="28"/>
        </w:rPr>
        <w:t xml:space="preserve">no one could reasonably conclude that </w:t>
      </w:r>
      <w:r w:rsidR="005641B4">
        <w:rPr>
          <w:sz w:val="28"/>
          <w:szCs w:val="28"/>
        </w:rPr>
        <w:t xml:space="preserve">Smith </w:t>
      </w:r>
      <w:r w:rsidR="005641B4" w:rsidRPr="00E26AA9">
        <w:rPr>
          <w:sz w:val="28"/>
          <w:szCs w:val="28"/>
        </w:rPr>
        <w:t>had or has any relationship with ILQ, Pieron</w:t>
      </w:r>
      <w:r w:rsidR="00F165D8">
        <w:rPr>
          <w:sz w:val="28"/>
          <w:szCs w:val="28"/>
        </w:rPr>
        <w:t xml:space="preserve"> or HA/HMcP</w:t>
      </w:r>
      <w:r w:rsidR="005641B4">
        <w:rPr>
          <w:sz w:val="28"/>
          <w:szCs w:val="28"/>
        </w:rPr>
        <w:t>.</w:t>
      </w:r>
      <w:r w:rsidR="00E26AA9">
        <w:rPr>
          <w:sz w:val="28"/>
          <w:szCs w:val="28"/>
        </w:rPr>
        <w:t xml:space="preserve"> </w:t>
      </w:r>
      <w:r w:rsidR="00E26AA9" w:rsidRPr="00E26AA9">
        <w:rPr>
          <w:sz w:val="28"/>
          <w:szCs w:val="28"/>
        </w:rPr>
        <w:t xml:space="preserve">  </w:t>
      </w:r>
    </w:p>
    <w:p w:rsidR="00274713" w:rsidRDefault="007C4554" w:rsidP="00AF0A5E">
      <w:pPr>
        <w:contextualSpacing/>
        <w:jc w:val="both"/>
        <w:rPr>
          <w:b/>
          <w:sz w:val="28"/>
          <w:szCs w:val="28"/>
          <w:u w:val="single"/>
        </w:rPr>
      </w:pPr>
      <w:r w:rsidRPr="004759C1">
        <w:rPr>
          <w:b/>
          <w:sz w:val="28"/>
          <w:szCs w:val="28"/>
        </w:rPr>
        <w:lastRenderedPageBreak/>
        <w:t xml:space="preserve">Principals Applicable to </w:t>
      </w:r>
      <w:r w:rsidRPr="00274713">
        <w:rPr>
          <w:b/>
          <w:sz w:val="28"/>
          <w:szCs w:val="28"/>
        </w:rPr>
        <w:t xml:space="preserve">the </w:t>
      </w:r>
      <w:r w:rsidR="004759C1" w:rsidRPr="00274713">
        <w:rPr>
          <w:b/>
          <w:sz w:val="28"/>
          <w:szCs w:val="28"/>
        </w:rPr>
        <w:t>NFA’s</w:t>
      </w:r>
      <w:r w:rsidR="004759C1">
        <w:rPr>
          <w:b/>
          <w:sz w:val="28"/>
          <w:szCs w:val="28"/>
          <w:u w:val="single"/>
        </w:rPr>
        <w:t xml:space="preserve"> </w:t>
      </w:r>
    </w:p>
    <w:p w:rsidR="007C4554" w:rsidRDefault="004759C1" w:rsidP="00AF0A5E">
      <w:pPr>
        <w:contextualSpacing/>
        <w:jc w:val="both"/>
        <w:rPr>
          <w:b/>
          <w:sz w:val="28"/>
          <w:szCs w:val="28"/>
          <w:u w:val="single"/>
        </w:rPr>
      </w:pPr>
      <w:r>
        <w:rPr>
          <w:b/>
          <w:sz w:val="28"/>
          <w:szCs w:val="28"/>
          <w:u w:val="single"/>
        </w:rPr>
        <w:t>Charges</w:t>
      </w:r>
      <w:r w:rsidR="00274713">
        <w:rPr>
          <w:b/>
          <w:sz w:val="28"/>
          <w:szCs w:val="28"/>
          <w:u w:val="single"/>
        </w:rPr>
        <w:t xml:space="preserve"> of Compliance Rule Violations</w:t>
      </w:r>
    </w:p>
    <w:p w:rsidR="00E41420" w:rsidRDefault="00E41420" w:rsidP="00AF0A5E">
      <w:pPr>
        <w:contextualSpacing/>
        <w:jc w:val="both"/>
        <w:rPr>
          <w:b/>
          <w:sz w:val="28"/>
          <w:szCs w:val="28"/>
          <w:u w:val="single"/>
        </w:rPr>
      </w:pPr>
    </w:p>
    <w:p w:rsidR="00274713" w:rsidRDefault="00E41420" w:rsidP="00AF0A5E">
      <w:pPr>
        <w:contextualSpacing/>
        <w:jc w:val="both"/>
        <w:rPr>
          <w:b/>
          <w:sz w:val="28"/>
          <w:szCs w:val="28"/>
        </w:rPr>
      </w:pPr>
      <w:r w:rsidRPr="00E569CB">
        <w:rPr>
          <w:b/>
          <w:sz w:val="28"/>
          <w:szCs w:val="28"/>
        </w:rPr>
        <w:t xml:space="preserve">No Violation of </w:t>
      </w:r>
      <w:r w:rsidR="00274713">
        <w:rPr>
          <w:b/>
          <w:sz w:val="28"/>
          <w:szCs w:val="28"/>
        </w:rPr>
        <w:t xml:space="preserve">Rule 2-5 or of a </w:t>
      </w:r>
    </w:p>
    <w:p w:rsidR="00E41420" w:rsidRPr="00274713" w:rsidRDefault="00E41420" w:rsidP="00AF0A5E">
      <w:pPr>
        <w:contextualSpacing/>
        <w:jc w:val="both"/>
        <w:rPr>
          <w:b/>
          <w:sz w:val="28"/>
          <w:szCs w:val="28"/>
          <w:u w:val="single"/>
        </w:rPr>
      </w:pPr>
      <w:proofErr w:type="gramStart"/>
      <w:r w:rsidRPr="00274713">
        <w:rPr>
          <w:b/>
          <w:sz w:val="28"/>
          <w:szCs w:val="28"/>
          <w:u w:val="single"/>
        </w:rPr>
        <w:t>Duty</w:t>
      </w:r>
      <w:r w:rsidR="00610E01" w:rsidRPr="00274713">
        <w:rPr>
          <w:b/>
          <w:sz w:val="28"/>
          <w:szCs w:val="28"/>
          <w:u w:val="single"/>
        </w:rPr>
        <w:t xml:space="preserve"> Which</w:t>
      </w:r>
      <w:proofErr w:type="gramEnd"/>
      <w:r w:rsidR="00274713" w:rsidRPr="00274713">
        <w:rPr>
          <w:b/>
          <w:sz w:val="28"/>
          <w:szCs w:val="28"/>
          <w:u w:val="single"/>
        </w:rPr>
        <w:t xml:space="preserve"> </w:t>
      </w:r>
      <w:r w:rsidR="00610E01" w:rsidRPr="00274713">
        <w:rPr>
          <w:b/>
          <w:sz w:val="28"/>
          <w:szCs w:val="28"/>
          <w:u w:val="single"/>
        </w:rPr>
        <w:t>Cannot Be Fulfilled</w:t>
      </w:r>
    </w:p>
    <w:p w:rsidR="00454B38" w:rsidRDefault="00454B38" w:rsidP="00AF0A5E">
      <w:pPr>
        <w:contextualSpacing/>
        <w:jc w:val="both"/>
        <w:rPr>
          <w:b/>
          <w:sz w:val="28"/>
          <w:szCs w:val="28"/>
          <w:u w:val="single"/>
        </w:rPr>
      </w:pPr>
    </w:p>
    <w:p w:rsidR="00A513D3" w:rsidRDefault="00E23569" w:rsidP="00AF0A5E">
      <w:pPr>
        <w:pStyle w:val="ListParagraph"/>
        <w:numPr>
          <w:ilvl w:val="0"/>
          <w:numId w:val="13"/>
        </w:numPr>
        <w:spacing w:line="480" w:lineRule="auto"/>
        <w:ind w:left="0" w:firstLine="720"/>
        <w:jc w:val="both"/>
        <w:rPr>
          <w:sz w:val="28"/>
          <w:szCs w:val="28"/>
        </w:rPr>
      </w:pPr>
      <w:r>
        <w:rPr>
          <w:sz w:val="28"/>
          <w:szCs w:val="28"/>
        </w:rPr>
        <w:t xml:space="preserve">The NFA </w:t>
      </w:r>
      <w:r w:rsidR="00417638">
        <w:rPr>
          <w:sz w:val="28"/>
          <w:szCs w:val="28"/>
        </w:rPr>
        <w:t>has regulatory authority to command production of documents and witnesses from its members</w:t>
      </w:r>
      <w:r w:rsidR="00831DEE">
        <w:rPr>
          <w:sz w:val="28"/>
          <w:szCs w:val="28"/>
        </w:rPr>
        <w:t xml:space="preserve">.  A member must comply with NFA commands, </w:t>
      </w:r>
      <w:r w:rsidR="007E00F0" w:rsidRPr="007E00F0">
        <w:rPr>
          <w:b/>
          <w:sz w:val="28"/>
          <w:szCs w:val="28"/>
        </w:rPr>
        <w:t>(</w:t>
      </w:r>
      <w:r w:rsidR="00425C90">
        <w:rPr>
          <w:b/>
          <w:sz w:val="28"/>
          <w:szCs w:val="28"/>
        </w:rPr>
        <w:t>1</w:t>
      </w:r>
      <w:r w:rsidR="007E00F0" w:rsidRPr="007E00F0">
        <w:rPr>
          <w:b/>
          <w:sz w:val="28"/>
          <w:szCs w:val="28"/>
        </w:rPr>
        <w:t>)</w:t>
      </w:r>
      <w:r w:rsidR="007E00F0">
        <w:rPr>
          <w:sz w:val="28"/>
          <w:szCs w:val="28"/>
        </w:rPr>
        <w:t xml:space="preserve"> if </w:t>
      </w:r>
      <w:r w:rsidR="00F3072C">
        <w:rPr>
          <w:sz w:val="28"/>
          <w:szCs w:val="28"/>
        </w:rPr>
        <w:t xml:space="preserve">the NFA Compliance Rules impose a duty on the member, </w:t>
      </w:r>
      <w:r w:rsidR="00F3072C" w:rsidRPr="00F3072C">
        <w:rPr>
          <w:b/>
          <w:sz w:val="28"/>
          <w:szCs w:val="28"/>
        </w:rPr>
        <w:t>(</w:t>
      </w:r>
      <w:r w:rsidR="00425C90">
        <w:rPr>
          <w:b/>
          <w:sz w:val="28"/>
          <w:szCs w:val="28"/>
        </w:rPr>
        <w:t>2</w:t>
      </w:r>
      <w:r w:rsidR="00F3072C" w:rsidRPr="00F3072C">
        <w:rPr>
          <w:b/>
          <w:sz w:val="28"/>
          <w:szCs w:val="28"/>
        </w:rPr>
        <w:t>)</w:t>
      </w:r>
      <w:r w:rsidR="00F3072C">
        <w:rPr>
          <w:sz w:val="28"/>
          <w:szCs w:val="28"/>
        </w:rPr>
        <w:t xml:space="preserve"> </w:t>
      </w:r>
      <w:r w:rsidR="007E00F0" w:rsidRPr="007E00F0">
        <w:rPr>
          <w:b/>
          <w:sz w:val="28"/>
          <w:szCs w:val="28"/>
        </w:rPr>
        <w:t>if</w:t>
      </w:r>
      <w:r w:rsidR="007E00F0">
        <w:rPr>
          <w:sz w:val="28"/>
          <w:szCs w:val="28"/>
        </w:rPr>
        <w:t xml:space="preserve"> </w:t>
      </w:r>
      <w:r w:rsidR="00725373" w:rsidRPr="007E00F0">
        <w:rPr>
          <w:b/>
          <w:sz w:val="28"/>
          <w:szCs w:val="28"/>
        </w:rPr>
        <w:t>the member has the capacity to produce the compelled document or person</w:t>
      </w:r>
      <w:r w:rsidR="00725373">
        <w:rPr>
          <w:sz w:val="28"/>
          <w:szCs w:val="28"/>
        </w:rPr>
        <w:t xml:space="preserve">, and </w:t>
      </w:r>
      <w:r w:rsidR="00725373" w:rsidRPr="00725373">
        <w:rPr>
          <w:b/>
          <w:sz w:val="28"/>
          <w:szCs w:val="28"/>
        </w:rPr>
        <w:t>(</w:t>
      </w:r>
      <w:r w:rsidR="00425C90">
        <w:rPr>
          <w:b/>
          <w:sz w:val="28"/>
          <w:szCs w:val="28"/>
        </w:rPr>
        <w:t>3</w:t>
      </w:r>
      <w:r w:rsidR="00725373" w:rsidRPr="00725373">
        <w:rPr>
          <w:b/>
          <w:sz w:val="28"/>
          <w:szCs w:val="28"/>
        </w:rPr>
        <w:t>)</w:t>
      </w:r>
      <w:r w:rsidR="00725373">
        <w:rPr>
          <w:sz w:val="28"/>
          <w:szCs w:val="28"/>
        </w:rPr>
        <w:t xml:space="preserve"> </w:t>
      </w:r>
      <w:r w:rsidR="007E00F0">
        <w:rPr>
          <w:sz w:val="28"/>
          <w:szCs w:val="28"/>
        </w:rPr>
        <w:t>in a timely manner.</w:t>
      </w:r>
    </w:p>
    <w:p w:rsidR="00CF1CBF" w:rsidRDefault="003B7C70" w:rsidP="00AF0A5E">
      <w:pPr>
        <w:pStyle w:val="ListParagraph"/>
        <w:numPr>
          <w:ilvl w:val="0"/>
          <w:numId w:val="13"/>
        </w:numPr>
        <w:spacing w:line="480" w:lineRule="auto"/>
        <w:ind w:left="0" w:firstLine="720"/>
        <w:jc w:val="both"/>
        <w:rPr>
          <w:sz w:val="28"/>
          <w:szCs w:val="28"/>
        </w:rPr>
      </w:pPr>
      <w:r>
        <w:rPr>
          <w:sz w:val="28"/>
          <w:szCs w:val="28"/>
        </w:rPr>
        <w:t xml:space="preserve">A </w:t>
      </w:r>
      <w:r w:rsidRPr="00F95154">
        <w:rPr>
          <w:b/>
          <w:sz w:val="28"/>
          <w:szCs w:val="28"/>
        </w:rPr>
        <w:t>duty</w:t>
      </w:r>
      <w:r>
        <w:rPr>
          <w:sz w:val="28"/>
          <w:szCs w:val="28"/>
        </w:rPr>
        <w:t xml:space="preserve"> to produce a document or person is enforceable </w:t>
      </w:r>
      <w:r w:rsidRPr="00F95154">
        <w:rPr>
          <w:b/>
          <w:sz w:val="28"/>
          <w:szCs w:val="28"/>
        </w:rPr>
        <w:t>unless</w:t>
      </w:r>
      <w:r>
        <w:rPr>
          <w:sz w:val="28"/>
          <w:szCs w:val="28"/>
        </w:rPr>
        <w:t xml:space="preserve"> the compelled party shows it or he</w:t>
      </w:r>
      <w:r w:rsidRPr="008D24E7">
        <w:rPr>
          <w:b/>
          <w:sz w:val="28"/>
          <w:szCs w:val="28"/>
        </w:rPr>
        <w:t>/</w:t>
      </w:r>
      <w:r>
        <w:rPr>
          <w:sz w:val="28"/>
          <w:szCs w:val="28"/>
        </w:rPr>
        <w:t xml:space="preserve">she </w:t>
      </w:r>
      <w:r w:rsidRPr="003B7C70">
        <w:rPr>
          <w:b/>
          <w:sz w:val="28"/>
          <w:szCs w:val="28"/>
        </w:rPr>
        <w:t>cannot produce</w:t>
      </w:r>
      <w:r>
        <w:rPr>
          <w:sz w:val="28"/>
          <w:szCs w:val="28"/>
        </w:rPr>
        <w:t xml:space="preserve"> the compelled </w:t>
      </w:r>
      <w:r w:rsidR="00F95154">
        <w:rPr>
          <w:sz w:val="28"/>
          <w:szCs w:val="28"/>
        </w:rPr>
        <w:t xml:space="preserve">document or </w:t>
      </w:r>
      <w:r>
        <w:rPr>
          <w:sz w:val="28"/>
          <w:szCs w:val="28"/>
        </w:rPr>
        <w:t xml:space="preserve">person.  </w:t>
      </w:r>
      <w:proofErr w:type="gramStart"/>
      <w:r w:rsidR="008D24E7">
        <w:rPr>
          <w:sz w:val="28"/>
          <w:szCs w:val="28"/>
        </w:rPr>
        <w:t xml:space="preserve">Under the facts </w:t>
      </w:r>
      <w:r w:rsidR="002F3088">
        <w:rPr>
          <w:sz w:val="28"/>
          <w:szCs w:val="28"/>
        </w:rPr>
        <w:t xml:space="preserve">of this case, the NFA </w:t>
      </w:r>
      <w:r w:rsidR="00CF1CBF">
        <w:rPr>
          <w:b/>
          <w:sz w:val="28"/>
          <w:szCs w:val="28"/>
        </w:rPr>
        <w:t>(1</w:t>
      </w:r>
      <w:r w:rsidR="002F3088" w:rsidRPr="004F400F">
        <w:rPr>
          <w:b/>
          <w:sz w:val="28"/>
          <w:szCs w:val="28"/>
        </w:rPr>
        <w:t>)</w:t>
      </w:r>
      <w:r w:rsidR="002F3088">
        <w:rPr>
          <w:sz w:val="28"/>
          <w:szCs w:val="28"/>
        </w:rPr>
        <w:t xml:space="preserve"> </w:t>
      </w:r>
      <w:r w:rsidR="004F400F">
        <w:rPr>
          <w:sz w:val="28"/>
          <w:szCs w:val="28"/>
        </w:rPr>
        <w:t xml:space="preserve">knew </w:t>
      </w:r>
      <w:r w:rsidR="002F3088">
        <w:rPr>
          <w:sz w:val="28"/>
          <w:szCs w:val="28"/>
        </w:rPr>
        <w:t xml:space="preserve">that ILQ, Tanner and Krier </w:t>
      </w:r>
      <w:r w:rsidR="002F3088" w:rsidRPr="00CF1CBF">
        <w:rPr>
          <w:b/>
          <w:sz w:val="28"/>
          <w:szCs w:val="28"/>
        </w:rPr>
        <w:t xml:space="preserve">did not have possession, custody </w:t>
      </w:r>
      <w:r w:rsidR="00C442C4">
        <w:rPr>
          <w:b/>
          <w:sz w:val="28"/>
          <w:szCs w:val="28"/>
        </w:rPr>
        <w:t xml:space="preserve">or </w:t>
      </w:r>
      <w:r w:rsidR="002F3088" w:rsidRPr="00CF1CBF">
        <w:rPr>
          <w:b/>
          <w:sz w:val="28"/>
          <w:szCs w:val="28"/>
        </w:rPr>
        <w:t>control</w:t>
      </w:r>
      <w:r w:rsidR="008D24E7" w:rsidRPr="00CF1CBF">
        <w:rPr>
          <w:b/>
          <w:sz w:val="28"/>
          <w:szCs w:val="28"/>
        </w:rPr>
        <w:t xml:space="preserve"> </w:t>
      </w:r>
      <w:r w:rsidR="002F3088" w:rsidRPr="00CF1CBF">
        <w:rPr>
          <w:b/>
          <w:sz w:val="28"/>
          <w:szCs w:val="28"/>
        </w:rPr>
        <w:t xml:space="preserve">of </w:t>
      </w:r>
      <w:r w:rsidR="00832E75">
        <w:rPr>
          <w:b/>
          <w:sz w:val="28"/>
          <w:szCs w:val="28"/>
        </w:rPr>
        <w:t xml:space="preserve">HMcP’s </w:t>
      </w:r>
      <w:r w:rsidR="002F3088" w:rsidRPr="00CF1CBF">
        <w:rPr>
          <w:b/>
          <w:sz w:val="28"/>
          <w:szCs w:val="28"/>
        </w:rPr>
        <w:t>financial statements</w:t>
      </w:r>
      <w:r w:rsidR="0095221D">
        <w:rPr>
          <w:sz w:val="28"/>
          <w:szCs w:val="28"/>
        </w:rPr>
        <w:t>,</w:t>
      </w:r>
      <w:r w:rsidR="00DE7037">
        <w:rPr>
          <w:sz w:val="28"/>
          <w:szCs w:val="28"/>
        </w:rPr>
        <w:t xml:space="preserve"> </w:t>
      </w:r>
      <w:r w:rsidR="00DE7037" w:rsidRPr="004F400F">
        <w:rPr>
          <w:b/>
          <w:sz w:val="28"/>
          <w:szCs w:val="28"/>
        </w:rPr>
        <w:t>(</w:t>
      </w:r>
      <w:r w:rsidR="00CF1CBF">
        <w:rPr>
          <w:b/>
          <w:sz w:val="28"/>
          <w:szCs w:val="28"/>
        </w:rPr>
        <w:t>2</w:t>
      </w:r>
      <w:r w:rsidR="00DE7037" w:rsidRPr="004F400F">
        <w:rPr>
          <w:b/>
          <w:sz w:val="28"/>
          <w:szCs w:val="28"/>
        </w:rPr>
        <w:t>)</w:t>
      </w:r>
      <w:r w:rsidR="00DE7037">
        <w:rPr>
          <w:sz w:val="28"/>
          <w:szCs w:val="28"/>
        </w:rPr>
        <w:t xml:space="preserve"> </w:t>
      </w:r>
      <w:r w:rsidR="0095221D">
        <w:rPr>
          <w:sz w:val="28"/>
          <w:szCs w:val="28"/>
        </w:rPr>
        <w:t xml:space="preserve">accepted Tanner and Krier acting as conduits between the NFA and </w:t>
      </w:r>
      <w:r w:rsidR="00832E75">
        <w:rPr>
          <w:sz w:val="28"/>
          <w:szCs w:val="28"/>
        </w:rPr>
        <w:t>HMcP’s senior executive</w:t>
      </w:r>
      <w:r w:rsidR="0095221D">
        <w:rPr>
          <w:sz w:val="28"/>
          <w:szCs w:val="28"/>
        </w:rPr>
        <w:t xml:space="preserve">, </w:t>
      </w:r>
      <w:proofErr w:type="spellStart"/>
      <w:r w:rsidR="0095221D">
        <w:rPr>
          <w:sz w:val="28"/>
          <w:szCs w:val="28"/>
        </w:rPr>
        <w:t>Mawdsley</w:t>
      </w:r>
      <w:proofErr w:type="spellEnd"/>
      <w:r w:rsidR="004759C1">
        <w:rPr>
          <w:sz w:val="28"/>
          <w:szCs w:val="28"/>
        </w:rPr>
        <w:t>,</w:t>
      </w:r>
      <w:r w:rsidR="0095221D">
        <w:rPr>
          <w:sz w:val="28"/>
          <w:szCs w:val="28"/>
        </w:rPr>
        <w:t xml:space="preserve"> in an effort to secure the requested documents, and </w:t>
      </w:r>
      <w:r w:rsidR="0095221D" w:rsidRPr="0095221D">
        <w:rPr>
          <w:b/>
          <w:sz w:val="28"/>
          <w:szCs w:val="28"/>
        </w:rPr>
        <w:t>(</w:t>
      </w:r>
      <w:r w:rsidR="00CF1CBF">
        <w:rPr>
          <w:b/>
          <w:sz w:val="28"/>
          <w:szCs w:val="28"/>
        </w:rPr>
        <w:t>3</w:t>
      </w:r>
      <w:r w:rsidR="0095221D" w:rsidRPr="0095221D">
        <w:rPr>
          <w:b/>
          <w:sz w:val="28"/>
          <w:szCs w:val="28"/>
        </w:rPr>
        <w:t>)</w:t>
      </w:r>
      <w:r w:rsidR="0095221D">
        <w:rPr>
          <w:sz w:val="28"/>
          <w:szCs w:val="28"/>
        </w:rPr>
        <w:t xml:space="preserve"> even </w:t>
      </w:r>
      <w:r w:rsidR="00DE7037">
        <w:rPr>
          <w:sz w:val="28"/>
          <w:szCs w:val="28"/>
        </w:rPr>
        <w:t>took up direct negotiations with Mawdsley</w:t>
      </w:r>
      <w:r w:rsidR="0095221D">
        <w:rPr>
          <w:sz w:val="28"/>
          <w:szCs w:val="28"/>
        </w:rPr>
        <w:t xml:space="preserve"> in order to reframe the scope of the NFA’s request</w:t>
      </w:r>
      <w:r w:rsidR="004759C1">
        <w:rPr>
          <w:sz w:val="28"/>
          <w:szCs w:val="28"/>
        </w:rPr>
        <w:t>s</w:t>
      </w:r>
      <w:r w:rsidR="0095221D">
        <w:rPr>
          <w:sz w:val="28"/>
          <w:szCs w:val="28"/>
        </w:rPr>
        <w:t xml:space="preserve"> and ultimately to have each of the request</w:t>
      </w:r>
      <w:r w:rsidR="004759C1">
        <w:rPr>
          <w:sz w:val="28"/>
          <w:szCs w:val="28"/>
        </w:rPr>
        <w:t xml:space="preserve">s satisfied </w:t>
      </w:r>
      <w:r w:rsidR="004759C1" w:rsidRPr="00BF1E1E">
        <w:rPr>
          <w:b/>
          <w:sz w:val="28"/>
          <w:szCs w:val="28"/>
        </w:rPr>
        <w:t>by</w:t>
      </w:r>
      <w:r w:rsidR="004759C1">
        <w:rPr>
          <w:sz w:val="28"/>
          <w:szCs w:val="28"/>
        </w:rPr>
        <w:t xml:space="preserve"> </w:t>
      </w:r>
      <w:r w:rsidR="00BF1E1E">
        <w:rPr>
          <w:sz w:val="28"/>
          <w:szCs w:val="28"/>
        </w:rPr>
        <w:t>HMcP</w:t>
      </w:r>
      <w:r w:rsidR="0095221D">
        <w:rPr>
          <w:sz w:val="28"/>
          <w:szCs w:val="28"/>
        </w:rPr>
        <w:t>.</w:t>
      </w:r>
      <w:proofErr w:type="gramEnd"/>
      <w:r w:rsidR="0095221D">
        <w:rPr>
          <w:sz w:val="28"/>
          <w:szCs w:val="28"/>
        </w:rPr>
        <w:t xml:space="preserve">  </w:t>
      </w:r>
      <w:r w:rsidR="00410434">
        <w:rPr>
          <w:sz w:val="28"/>
          <w:szCs w:val="28"/>
        </w:rPr>
        <w:t>Given the absence of possession, custody or control of the financial information, ILQ, Tanner and Krier cannot be held legally responsible and sanctioned for</w:t>
      </w:r>
      <w:r w:rsidR="00F33D46">
        <w:rPr>
          <w:sz w:val="28"/>
          <w:szCs w:val="28"/>
        </w:rPr>
        <w:t xml:space="preserve"> a duty they </w:t>
      </w:r>
      <w:r w:rsidR="00F33D46" w:rsidRPr="00830DDB">
        <w:rPr>
          <w:b/>
          <w:sz w:val="28"/>
          <w:szCs w:val="28"/>
        </w:rPr>
        <w:t>could not perform</w:t>
      </w:r>
      <w:r w:rsidR="00F33D46">
        <w:rPr>
          <w:sz w:val="28"/>
          <w:szCs w:val="28"/>
        </w:rPr>
        <w:t>.</w:t>
      </w:r>
      <w:r w:rsidR="0095221D">
        <w:rPr>
          <w:sz w:val="28"/>
          <w:szCs w:val="28"/>
        </w:rPr>
        <w:t xml:space="preserve">  </w:t>
      </w:r>
    </w:p>
    <w:p w:rsidR="00C25587" w:rsidRDefault="0095221D" w:rsidP="00AF0A5E">
      <w:pPr>
        <w:pStyle w:val="ListParagraph"/>
        <w:numPr>
          <w:ilvl w:val="0"/>
          <w:numId w:val="13"/>
        </w:numPr>
        <w:spacing w:line="480" w:lineRule="auto"/>
        <w:ind w:left="0" w:firstLine="720"/>
        <w:jc w:val="both"/>
        <w:rPr>
          <w:sz w:val="28"/>
          <w:szCs w:val="28"/>
        </w:rPr>
      </w:pPr>
      <w:r>
        <w:rPr>
          <w:sz w:val="28"/>
          <w:szCs w:val="28"/>
        </w:rPr>
        <w:lastRenderedPageBreak/>
        <w:t xml:space="preserve">There was no failure on their part to </w:t>
      </w:r>
      <w:r w:rsidRPr="00BB6D05">
        <w:rPr>
          <w:b/>
          <w:sz w:val="28"/>
          <w:szCs w:val="28"/>
        </w:rPr>
        <w:t>timely cooperate</w:t>
      </w:r>
      <w:r>
        <w:rPr>
          <w:sz w:val="28"/>
          <w:szCs w:val="28"/>
        </w:rPr>
        <w:t xml:space="preserve"> with the NFA.</w:t>
      </w:r>
      <w:r w:rsidR="00830DDB">
        <w:rPr>
          <w:sz w:val="28"/>
          <w:szCs w:val="28"/>
        </w:rPr>
        <w:t xml:space="preserve">  In fact, the hearing record will be replete with communications evidencing their cooperation</w:t>
      </w:r>
      <w:r w:rsidR="00BB6D05">
        <w:rPr>
          <w:sz w:val="28"/>
          <w:szCs w:val="28"/>
        </w:rPr>
        <w:t xml:space="preserve"> which was</w:t>
      </w:r>
      <w:r w:rsidR="00E44D9D">
        <w:rPr>
          <w:sz w:val="28"/>
          <w:szCs w:val="28"/>
        </w:rPr>
        <w:t xml:space="preserve"> </w:t>
      </w:r>
      <w:r w:rsidR="0074595B">
        <w:rPr>
          <w:sz w:val="28"/>
          <w:szCs w:val="28"/>
        </w:rPr>
        <w:t>timely</w:t>
      </w:r>
      <w:r w:rsidR="00E44D9D">
        <w:rPr>
          <w:sz w:val="28"/>
          <w:szCs w:val="28"/>
        </w:rPr>
        <w:t xml:space="preserve"> and </w:t>
      </w:r>
      <w:r w:rsidR="00BB6D05">
        <w:rPr>
          <w:sz w:val="28"/>
          <w:szCs w:val="28"/>
        </w:rPr>
        <w:t>unfaltering.</w:t>
      </w:r>
    </w:p>
    <w:p w:rsidR="001823DA" w:rsidRDefault="001823DA" w:rsidP="00AF0A5E">
      <w:pPr>
        <w:pStyle w:val="ListParagraph"/>
        <w:numPr>
          <w:ilvl w:val="0"/>
          <w:numId w:val="13"/>
        </w:numPr>
        <w:spacing w:line="480" w:lineRule="auto"/>
        <w:ind w:left="0" w:firstLine="720"/>
        <w:jc w:val="both"/>
        <w:rPr>
          <w:sz w:val="28"/>
          <w:szCs w:val="28"/>
        </w:rPr>
      </w:pPr>
      <w:r w:rsidRPr="001823DA">
        <w:rPr>
          <w:sz w:val="28"/>
          <w:szCs w:val="28"/>
        </w:rPr>
        <w:t xml:space="preserve">The legal principal supporting the respondents’ arguments has its derivation in the Federal Rules of Civil Procedure.  </w:t>
      </w:r>
      <w:proofErr w:type="spellStart"/>
      <w:r w:rsidRPr="001823DA">
        <w:rPr>
          <w:sz w:val="28"/>
          <w:szCs w:val="28"/>
        </w:rPr>
        <w:t>F.R.C.P</w:t>
      </w:r>
      <w:proofErr w:type="spellEnd"/>
      <w:r w:rsidRPr="001823DA">
        <w:rPr>
          <w:sz w:val="28"/>
          <w:szCs w:val="28"/>
        </w:rPr>
        <w:t>. Rule 34(a</w:t>
      </w:r>
      <w:proofErr w:type="gramStart"/>
      <w:r w:rsidRPr="001823DA">
        <w:rPr>
          <w:sz w:val="28"/>
          <w:szCs w:val="28"/>
        </w:rPr>
        <w:t>)(</w:t>
      </w:r>
      <w:proofErr w:type="gramEnd"/>
      <w:r w:rsidRPr="001823DA">
        <w:rPr>
          <w:sz w:val="28"/>
          <w:szCs w:val="28"/>
        </w:rPr>
        <w:t xml:space="preserve">1) permits a party to demand production by another party of items in the responding party’s </w:t>
      </w:r>
      <w:r w:rsidRPr="001823DA">
        <w:rPr>
          <w:b/>
          <w:sz w:val="28"/>
          <w:szCs w:val="28"/>
        </w:rPr>
        <w:t>possession, custody or control</w:t>
      </w:r>
      <w:r w:rsidRPr="001823DA">
        <w:rPr>
          <w:sz w:val="28"/>
          <w:szCs w:val="28"/>
        </w:rPr>
        <w:t xml:space="preserve">.  The cases interpreting this </w:t>
      </w:r>
      <w:proofErr w:type="spellStart"/>
      <w:r w:rsidRPr="001823DA">
        <w:rPr>
          <w:sz w:val="28"/>
          <w:szCs w:val="28"/>
        </w:rPr>
        <w:t>F.R.C.P</w:t>
      </w:r>
      <w:proofErr w:type="spellEnd"/>
      <w:r w:rsidRPr="001823DA">
        <w:rPr>
          <w:sz w:val="28"/>
          <w:szCs w:val="28"/>
        </w:rPr>
        <w:t xml:space="preserve">., as well as the interpretation of similar discovery or compliance rules like the NFA’s Compliance Rule 2-5, hold that a responding party </w:t>
      </w:r>
      <w:proofErr w:type="gramStart"/>
      <w:r w:rsidRPr="001823DA">
        <w:rPr>
          <w:sz w:val="28"/>
          <w:szCs w:val="28"/>
        </w:rPr>
        <w:t>cannot be sanctioned</w:t>
      </w:r>
      <w:proofErr w:type="gramEnd"/>
      <w:r w:rsidRPr="001823DA">
        <w:rPr>
          <w:sz w:val="28"/>
          <w:szCs w:val="28"/>
        </w:rPr>
        <w:t xml:space="preserve"> for failure to produce a document </w:t>
      </w:r>
      <w:r w:rsidRPr="001823DA">
        <w:rPr>
          <w:b/>
          <w:sz w:val="28"/>
          <w:szCs w:val="28"/>
        </w:rPr>
        <w:t>if the party does not have the ability to comply</w:t>
      </w:r>
      <w:r w:rsidRPr="001823DA">
        <w:rPr>
          <w:sz w:val="28"/>
          <w:szCs w:val="28"/>
        </w:rPr>
        <w:t>.</w:t>
      </w:r>
      <w:r>
        <w:rPr>
          <w:rStyle w:val="FootnoteReference"/>
          <w:sz w:val="28"/>
          <w:szCs w:val="28"/>
        </w:rPr>
        <w:footnoteReference w:id="2"/>
      </w:r>
      <w:r w:rsidRPr="001823DA">
        <w:rPr>
          <w:sz w:val="28"/>
          <w:szCs w:val="28"/>
        </w:rPr>
        <w:t xml:space="preserve">  </w:t>
      </w:r>
    </w:p>
    <w:p w:rsidR="00BF1E1E" w:rsidRDefault="00BF1E1E" w:rsidP="00BF1E1E">
      <w:pPr>
        <w:spacing w:line="480" w:lineRule="auto"/>
        <w:jc w:val="both"/>
        <w:rPr>
          <w:sz w:val="28"/>
          <w:szCs w:val="28"/>
        </w:rPr>
      </w:pPr>
    </w:p>
    <w:p w:rsidR="00BF1E1E" w:rsidRDefault="00BF1E1E" w:rsidP="00BF1E1E">
      <w:pPr>
        <w:spacing w:line="480" w:lineRule="auto"/>
        <w:jc w:val="both"/>
        <w:rPr>
          <w:sz w:val="28"/>
          <w:szCs w:val="28"/>
        </w:rPr>
      </w:pPr>
    </w:p>
    <w:p w:rsidR="00BF1E1E" w:rsidRPr="00BF1E1E" w:rsidRDefault="00BF1E1E" w:rsidP="00BF1E1E">
      <w:pPr>
        <w:spacing w:line="480" w:lineRule="auto"/>
        <w:jc w:val="both"/>
        <w:rPr>
          <w:sz w:val="28"/>
          <w:szCs w:val="28"/>
        </w:rPr>
      </w:pPr>
    </w:p>
    <w:p w:rsidR="00012C7A" w:rsidRDefault="00012C7A" w:rsidP="00AF0A5E">
      <w:pPr>
        <w:contextualSpacing/>
        <w:jc w:val="both"/>
        <w:rPr>
          <w:b/>
          <w:sz w:val="28"/>
          <w:szCs w:val="28"/>
        </w:rPr>
      </w:pPr>
      <w:r>
        <w:rPr>
          <w:b/>
          <w:sz w:val="28"/>
          <w:szCs w:val="28"/>
        </w:rPr>
        <w:lastRenderedPageBreak/>
        <w:t xml:space="preserve">No Violation of Rule 2-36(e); </w:t>
      </w:r>
    </w:p>
    <w:p w:rsidR="00012C7A" w:rsidRPr="00403062" w:rsidRDefault="00841C9A" w:rsidP="00AF0A5E">
      <w:pPr>
        <w:contextualSpacing/>
        <w:jc w:val="both"/>
        <w:rPr>
          <w:b/>
          <w:sz w:val="28"/>
          <w:szCs w:val="28"/>
          <w:u w:val="single"/>
        </w:rPr>
      </w:pPr>
      <w:r w:rsidRPr="00403062">
        <w:rPr>
          <w:b/>
          <w:sz w:val="28"/>
          <w:szCs w:val="28"/>
          <w:u w:val="single"/>
        </w:rPr>
        <w:t>No Failure to Supervise by Pieron</w:t>
      </w:r>
    </w:p>
    <w:p w:rsidR="00841C9A" w:rsidRPr="00E569CB" w:rsidRDefault="00841C9A" w:rsidP="00AF0A5E">
      <w:pPr>
        <w:contextualSpacing/>
        <w:jc w:val="both"/>
        <w:rPr>
          <w:b/>
          <w:sz w:val="28"/>
          <w:szCs w:val="28"/>
          <w:u w:val="single"/>
        </w:rPr>
      </w:pPr>
    </w:p>
    <w:p w:rsidR="007C4554" w:rsidRPr="005C5BAA" w:rsidRDefault="00403062" w:rsidP="00AF0A5E">
      <w:pPr>
        <w:pStyle w:val="ListParagraph"/>
        <w:numPr>
          <w:ilvl w:val="0"/>
          <w:numId w:val="13"/>
        </w:numPr>
        <w:spacing w:line="480" w:lineRule="auto"/>
        <w:ind w:left="0" w:firstLine="720"/>
        <w:jc w:val="both"/>
        <w:rPr>
          <w:b/>
          <w:sz w:val="28"/>
          <w:szCs w:val="28"/>
        </w:rPr>
      </w:pPr>
      <w:r>
        <w:rPr>
          <w:sz w:val="28"/>
          <w:szCs w:val="28"/>
        </w:rPr>
        <w:t>The NFA’s c</w:t>
      </w:r>
      <w:r w:rsidR="00236742">
        <w:rPr>
          <w:sz w:val="28"/>
          <w:szCs w:val="28"/>
        </w:rPr>
        <w:t xml:space="preserve">harge of failure to supervise </w:t>
      </w:r>
      <w:r w:rsidR="005C21EC">
        <w:rPr>
          <w:sz w:val="28"/>
          <w:szCs w:val="28"/>
        </w:rPr>
        <w:t xml:space="preserve">against Pieron </w:t>
      </w:r>
      <w:r w:rsidR="00236742">
        <w:rPr>
          <w:sz w:val="28"/>
          <w:szCs w:val="28"/>
        </w:rPr>
        <w:t xml:space="preserve">is akin to a charge of </w:t>
      </w:r>
      <w:r w:rsidR="00C66A32">
        <w:rPr>
          <w:sz w:val="28"/>
          <w:szCs w:val="28"/>
        </w:rPr>
        <w:t xml:space="preserve">breach of </w:t>
      </w:r>
      <w:r w:rsidR="00874A57">
        <w:rPr>
          <w:sz w:val="28"/>
          <w:szCs w:val="28"/>
        </w:rPr>
        <w:t xml:space="preserve">a </w:t>
      </w:r>
      <w:r w:rsidR="00C66A32">
        <w:rPr>
          <w:sz w:val="28"/>
          <w:szCs w:val="28"/>
        </w:rPr>
        <w:t xml:space="preserve">duty of </w:t>
      </w:r>
      <w:r w:rsidR="00236742">
        <w:rPr>
          <w:sz w:val="28"/>
          <w:szCs w:val="28"/>
        </w:rPr>
        <w:t>care.</w:t>
      </w:r>
      <w:r w:rsidR="00C66A32">
        <w:rPr>
          <w:sz w:val="28"/>
          <w:szCs w:val="28"/>
        </w:rPr>
        <w:t xml:space="preserve">  </w:t>
      </w:r>
      <w:r w:rsidR="00874A57">
        <w:rPr>
          <w:sz w:val="28"/>
          <w:szCs w:val="28"/>
        </w:rPr>
        <w:t xml:space="preserve">But, a supervisor cannot be found to have “failed to supervise” unless there is </w:t>
      </w:r>
      <w:r w:rsidR="009909D0">
        <w:rPr>
          <w:sz w:val="28"/>
          <w:szCs w:val="28"/>
        </w:rPr>
        <w:t xml:space="preserve">an </w:t>
      </w:r>
      <w:r w:rsidR="009909D0" w:rsidRPr="00B11AC4">
        <w:rPr>
          <w:b/>
          <w:sz w:val="28"/>
          <w:szCs w:val="28"/>
        </w:rPr>
        <w:t>underlying violation</w:t>
      </w:r>
      <w:r w:rsidR="00324E0C" w:rsidRPr="00324E0C">
        <w:rPr>
          <w:sz w:val="28"/>
          <w:szCs w:val="28"/>
        </w:rPr>
        <w:t>.</w:t>
      </w:r>
      <w:r w:rsidR="00324E0C">
        <w:rPr>
          <w:b/>
          <w:sz w:val="28"/>
          <w:szCs w:val="28"/>
        </w:rPr>
        <w:t xml:space="preserve">  </w:t>
      </w:r>
      <w:r w:rsidR="00324E0C" w:rsidRPr="00324E0C">
        <w:rPr>
          <w:sz w:val="28"/>
          <w:szCs w:val="28"/>
        </w:rPr>
        <w:t>So,</w:t>
      </w:r>
      <w:r w:rsidR="00324E0C">
        <w:rPr>
          <w:sz w:val="28"/>
          <w:szCs w:val="28"/>
        </w:rPr>
        <w:t xml:space="preserve"> Pieron cannot have violated Rule 2-36(e) unless there was a violation of Rule 2-5</w:t>
      </w:r>
      <w:r w:rsidR="00324E0C" w:rsidRPr="00324E0C">
        <w:rPr>
          <w:sz w:val="28"/>
          <w:szCs w:val="28"/>
        </w:rPr>
        <w:t xml:space="preserve"> </w:t>
      </w:r>
      <w:r w:rsidR="0095375F">
        <w:rPr>
          <w:sz w:val="28"/>
          <w:szCs w:val="28"/>
        </w:rPr>
        <w:t xml:space="preserve">- - </w:t>
      </w:r>
      <w:r w:rsidR="00324E0C">
        <w:rPr>
          <w:sz w:val="28"/>
          <w:szCs w:val="28"/>
        </w:rPr>
        <w:t xml:space="preserve">which there was not.  </w:t>
      </w:r>
      <w:r w:rsidR="00901563">
        <w:rPr>
          <w:sz w:val="28"/>
          <w:szCs w:val="28"/>
        </w:rPr>
        <w:t>T</w:t>
      </w:r>
      <w:r w:rsidR="00E30844">
        <w:rPr>
          <w:sz w:val="28"/>
          <w:szCs w:val="28"/>
        </w:rPr>
        <w:t xml:space="preserve">here could not have been an underlying </w:t>
      </w:r>
      <w:r w:rsidR="00901563">
        <w:rPr>
          <w:sz w:val="28"/>
          <w:szCs w:val="28"/>
        </w:rPr>
        <w:t xml:space="preserve">violation of Rule 2-5 since </w:t>
      </w:r>
      <w:r w:rsidR="00E30844">
        <w:rPr>
          <w:sz w:val="28"/>
          <w:szCs w:val="28"/>
        </w:rPr>
        <w:t xml:space="preserve">ILQ, Tanner and Krier </w:t>
      </w:r>
      <w:r w:rsidR="000411A9">
        <w:rPr>
          <w:sz w:val="28"/>
          <w:szCs w:val="28"/>
        </w:rPr>
        <w:t xml:space="preserve">could not compel </w:t>
      </w:r>
      <w:r w:rsidR="001C6C86">
        <w:rPr>
          <w:sz w:val="28"/>
          <w:szCs w:val="28"/>
        </w:rPr>
        <w:t xml:space="preserve">HMcP </w:t>
      </w:r>
      <w:r w:rsidR="000411A9">
        <w:rPr>
          <w:sz w:val="28"/>
          <w:szCs w:val="28"/>
        </w:rPr>
        <w:t>to produce the documents the NFA requested.</w:t>
      </w:r>
      <w:r w:rsidR="005C5BAA">
        <w:rPr>
          <w:sz w:val="28"/>
          <w:szCs w:val="28"/>
        </w:rPr>
        <w:t xml:space="preserve">  Therefore, Pieron </w:t>
      </w:r>
      <w:r w:rsidR="00F055A1">
        <w:rPr>
          <w:sz w:val="28"/>
          <w:szCs w:val="28"/>
        </w:rPr>
        <w:t xml:space="preserve">did </w:t>
      </w:r>
      <w:r w:rsidR="005C5BAA">
        <w:rPr>
          <w:sz w:val="28"/>
          <w:szCs w:val="28"/>
        </w:rPr>
        <w:t>not fail</w:t>
      </w:r>
      <w:r w:rsidR="00F055A1">
        <w:rPr>
          <w:sz w:val="28"/>
          <w:szCs w:val="28"/>
        </w:rPr>
        <w:t xml:space="preserve"> </w:t>
      </w:r>
      <w:r w:rsidR="005C5BAA">
        <w:rPr>
          <w:sz w:val="28"/>
          <w:szCs w:val="28"/>
        </w:rPr>
        <w:t>to supervise</w:t>
      </w:r>
      <w:r w:rsidR="00E4750E">
        <w:rPr>
          <w:sz w:val="28"/>
          <w:szCs w:val="28"/>
        </w:rPr>
        <w:t xml:space="preserve"> or violate</w:t>
      </w:r>
      <w:r w:rsidR="00F055A1">
        <w:rPr>
          <w:sz w:val="28"/>
          <w:szCs w:val="28"/>
        </w:rPr>
        <w:t xml:space="preserve"> </w:t>
      </w:r>
      <w:r w:rsidR="00E4750E">
        <w:rPr>
          <w:sz w:val="28"/>
          <w:szCs w:val="28"/>
        </w:rPr>
        <w:t>Rule 2-36(e)</w:t>
      </w:r>
      <w:r w:rsidR="005C5BAA">
        <w:rPr>
          <w:sz w:val="28"/>
          <w:szCs w:val="28"/>
        </w:rPr>
        <w:t>.</w:t>
      </w:r>
    </w:p>
    <w:p w:rsidR="005C5BAA" w:rsidRPr="003E1435" w:rsidRDefault="003E1435" w:rsidP="00AF0A5E">
      <w:pPr>
        <w:pStyle w:val="ListParagraph"/>
        <w:numPr>
          <w:ilvl w:val="0"/>
          <w:numId w:val="13"/>
        </w:numPr>
        <w:spacing w:line="480" w:lineRule="auto"/>
        <w:ind w:left="0" w:firstLine="720"/>
        <w:jc w:val="both"/>
        <w:rPr>
          <w:sz w:val="28"/>
          <w:szCs w:val="28"/>
        </w:rPr>
      </w:pPr>
      <w:r>
        <w:rPr>
          <w:sz w:val="28"/>
          <w:szCs w:val="28"/>
        </w:rPr>
        <w:t xml:space="preserve">Pieron’s conduct </w:t>
      </w:r>
      <w:r w:rsidR="001505C3">
        <w:rPr>
          <w:sz w:val="28"/>
          <w:szCs w:val="28"/>
        </w:rPr>
        <w:t>demonstrates his care in fulfilling his supervisor</w:t>
      </w:r>
      <w:r w:rsidR="00731790">
        <w:rPr>
          <w:sz w:val="28"/>
          <w:szCs w:val="28"/>
        </w:rPr>
        <w:t>y</w:t>
      </w:r>
      <w:r w:rsidR="003C2517">
        <w:rPr>
          <w:sz w:val="28"/>
          <w:szCs w:val="28"/>
        </w:rPr>
        <w:t xml:space="preserve"> responsibilities. </w:t>
      </w:r>
      <w:r w:rsidR="00A11CB7" w:rsidRPr="009922C1">
        <w:rPr>
          <w:b/>
          <w:sz w:val="28"/>
          <w:szCs w:val="28"/>
        </w:rPr>
        <w:t>First</w:t>
      </w:r>
      <w:r w:rsidR="00A11CB7">
        <w:rPr>
          <w:sz w:val="28"/>
          <w:szCs w:val="28"/>
        </w:rPr>
        <w:t xml:space="preserve">, ILQ </w:t>
      </w:r>
      <w:r w:rsidR="008D35F0">
        <w:rPr>
          <w:sz w:val="28"/>
          <w:szCs w:val="28"/>
        </w:rPr>
        <w:t xml:space="preserve">implemented </w:t>
      </w:r>
      <w:r w:rsidR="00A11CB7">
        <w:rPr>
          <w:sz w:val="28"/>
          <w:szCs w:val="28"/>
        </w:rPr>
        <w:t>written supervisory procedures</w:t>
      </w:r>
      <w:r w:rsidR="008D35F0">
        <w:rPr>
          <w:sz w:val="28"/>
          <w:szCs w:val="28"/>
        </w:rPr>
        <w:t>, and diligently supervised the activities of its employees</w:t>
      </w:r>
      <w:r w:rsidR="00A11CB7">
        <w:rPr>
          <w:sz w:val="28"/>
          <w:szCs w:val="28"/>
        </w:rPr>
        <w:t xml:space="preserve">.  </w:t>
      </w:r>
      <w:r w:rsidR="00A11CB7" w:rsidRPr="009922C1">
        <w:rPr>
          <w:b/>
          <w:sz w:val="28"/>
          <w:szCs w:val="28"/>
        </w:rPr>
        <w:t>Second</w:t>
      </w:r>
      <w:r w:rsidR="00A11CB7">
        <w:rPr>
          <w:sz w:val="28"/>
          <w:szCs w:val="28"/>
        </w:rPr>
        <w:t>, when hiring Tanner and Krier</w:t>
      </w:r>
      <w:r w:rsidR="005E43CE">
        <w:rPr>
          <w:sz w:val="28"/>
          <w:szCs w:val="28"/>
        </w:rPr>
        <w:t xml:space="preserve"> from the NFA</w:t>
      </w:r>
      <w:r w:rsidR="00A11CB7">
        <w:rPr>
          <w:sz w:val="28"/>
          <w:szCs w:val="28"/>
        </w:rPr>
        <w:t xml:space="preserve">, </w:t>
      </w:r>
      <w:r w:rsidR="00D71278">
        <w:rPr>
          <w:sz w:val="28"/>
          <w:szCs w:val="28"/>
        </w:rPr>
        <w:t xml:space="preserve">ILQ </w:t>
      </w:r>
      <w:r w:rsidR="00A11CB7">
        <w:rPr>
          <w:sz w:val="28"/>
          <w:szCs w:val="28"/>
        </w:rPr>
        <w:t xml:space="preserve">hired two former NFA employees with experience </w:t>
      </w:r>
      <w:r w:rsidR="005E43CE">
        <w:rPr>
          <w:sz w:val="28"/>
          <w:szCs w:val="28"/>
        </w:rPr>
        <w:t xml:space="preserve">and </w:t>
      </w:r>
      <w:proofErr w:type="gramStart"/>
      <w:r w:rsidR="005E43CE">
        <w:rPr>
          <w:sz w:val="28"/>
          <w:szCs w:val="28"/>
        </w:rPr>
        <w:t>know-how</w:t>
      </w:r>
      <w:proofErr w:type="gramEnd"/>
      <w:r w:rsidR="005E43CE">
        <w:rPr>
          <w:sz w:val="28"/>
          <w:szCs w:val="28"/>
        </w:rPr>
        <w:t xml:space="preserve"> </w:t>
      </w:r>
      <w:r w:rsidR="00A11CB7">
        <w:rPr>
          <w:sz w:val="28"/>
          <w:szCs w:val="28"/>
        </w:rPr>
        <w:t>in compliance</w:t>
      </w:r>
      <w:r w:rsidR="009922C1">
        <w:rPr>
          <w:sz w:val="28"/>
          <w:szCs w:val="28"/>
        </w:rPr>
        <w:t xml:space="preserve">.  </w:t>
      </w:r>
      <w:r w:rsidR="009922C1" w:rsidRPr="009922C1">
        <w:rPr>
          <w:b/>
          <w:sz w:val="28"/>
          <w:szCs w:val="28"/>
        </w:rPr>
        <w:t>Third</w:t>
      </w:r>
      <w:r w:rsidR="009922C1">
        <w:rPr>
          <w:sz w:val="28"/>
          <w:szCs w:val="28"/>
        </w:rPr>
        <w:t xml:space="preserve">, </w:t>
      </w:r>
      <w:r w:rsidR="008D3A12">
        <w:rPr>
          <w:sz w:val="28"/>
          <w:szCs w:val="28"/>
        </w:rPr>
        <w:t>Pieron remained informed by Tanner and Krier of the NFA’s requests</w:t>
      </w:r>
      <w:r w:rsidR="00731790">
        <w:rPr>
          <w:sz w:val="28"/>
          <w:szCs w:val="28"/>
        </w:rPr>
        <w:t xml:space="preserve"> at issue here</w:t>
      </w:r>
      <w:r w:rsidR="008D3A12">
        <w:rPr>
          <w:sz w:val="28"/>
          <w:szCs w:val="28"/>
        </w:rPr>
        <w:t xml:space="preserve">.  </w:t>
      </w:r>
      <w:r w:rsidR="008D3A12" w:rsidRPr="008D3A12">
        <w:rPr>
          <w:b/>
          <w:sz w:val="28"/>
          <w:szCs w:val="28"/>
        </w:rPr>
        <w:t>Fourth</w:t>
      </w:r>
      <w:r w:rsidR="008D3A12">
        <w:rPr>
          <w:sz w:val="28"/>
          <w:szCs w:val="28"/>
        </w:rPr>
        <w:t xml:space="preserve">, Pieron knew that Tanner and Krier did not have possession, custody or control of the </w:t>
      </w:r>
      <w:r w:rsidR="001C6C86">
        <w:rPr>
          <w:sz w:val="28"/>
          <w:szCs w:val="28"/>
        </w:rPr>
        <w:t xml:space="preserve">HMcP </w:t>
      </w:r>
      <w:r w:rsidR="008D3A12">
        <w:rPr>
          <w:sz w:val="28"/>
          <w:szCs w:val="28"/>
        </w:rPr>
        <w:t>financial statements requested by the NFA</w:t>
      </w:r>
      <w:r w:rsidR="000058BD">
        <w:rPr>
          <w:sz w:val="28"/>
          <w:szCs w:val="28"/>
        </w:rPr>
        <w:t xml:space="preserve">, and knew that any decision with regard to the production of such statements was in </w:t>
      </w:r>
      <w:r w:rsidR="001C6C86" w:rsidRPr="001C6C86">
        <w:rPr>
          <w:b/>
          <w:sz w:val="28"/>
          <w:szCs w:val="28"/>
        </w:rPr>
        <w:t xml:space="preserve">HMcP’s </w:t>
      </w:r>
      <w:r w:rsidR="000058BD" w:rsidRPr="001C6C86">
        <w:rPr>
          <w:b/>
          <w:sz w:val="28"/>
          <w:szCs w:val="28"/>
        </w:rPr>
        <w:t>sole discretion</w:t>
      </w:r>
      <w:r w:rsidR="008D3A12">
        <w:rPr>
          <w:sz w:val="28"/>
          <w:szCs w:val="28"/>
        </w:rPr>
        <w:t>.</w:t>
      </w:r>
      <w:r w:rsidR="009360E6">
        <w:rPr>
          <w:sz w:val="28"/>
          <w:szCs w:val="28"/>
        </w:rPr>
        <w:t xml:space="preserve">  </w:t>
      </w:r>
      <w:r w:rsidR="009360E6" w:rsidRPr="009360E6">
        <w:rPr>
          <w:b/>
          <w:sz w:val="28"/>
          <w:szCs w:val="28"/>
        </w:rPr>
        <w:t>Fifth</w:t>
      </w:r>
      <w:r w:rsidR="009360E6">
        <w:rPr>
          <w:sz w:val="28"/>
          <w:szCs w:val="28"/>
        </w:rPr>
        <w:t xml:space="preserve">, Pieron knew that Tanner and Krier were cooperating with the NFA and </w:t>
      </w:r>
      <w:r w:rsidR="005E43CE">
        <w:rPr>
          <w:sz w:val="28"/>
          <w:szCs w:val="28"/>
        </w:rPr>
        <w:t xml:space="preserve">working </w:t>
      </w:r>
      <w:r w:rsidR="009360E6">
        <w:rPr>
          <w:sz w:val="28"/>
          <w:szCs w:val="28"/>
        </w:rPr>
        <w:t xml:space="preserve">in good faith in an effort to secure </w:t>
      </w:r>
      <w:r w:rsidR="001C6C86">
        <w:rPr>
          <w:sz w:val="28"/>
          <w:szCs w:val="28"/>
        </w:rPr>
        <w:t xml:space="preserve">HMcP’s </w:t>
      </w:r>
      <w:r w:rsidR="005E43CE">
        <w:rPr>
          <w:sz w:val="28"/>
          <w:szCs w:val="28"/>
        </w:rPr>
        <w:t xml:space="preserve">acquiescence </w:t>
      </w:r>
      <w:r w:rsidR="009360E6">
        <w:rPr>
          <w:sz w:val="28"/>
          <w:szCs w:val="28"/>
        </w:rPr>
        <w:t>with the NFA’s request</w:t>
      </w:r>
      <w:r w:rsidR="00684BEB">
        <w:rPr>
          <w:sz w:val="28"/>
          <w:szCs w:val="28"/>
        </w:rPr>
        <w:t>s</w:t>
      </w:r>
      <w:r w:rsidR="009360E6">
        <w:rPr>
          <w:sz w:val="28"/>
          <w:szCs w:val="28"/>
        </w:rPr>
        <w:t xml:space="preserve">.  </w:t>
      </w:r>
      <w:r w:rsidR="00EE1322" w:rsidRPr="00EE1322">
        <w:rPr>
          <w:b/>
          <w:sz w:val="28"/>
          <w:szCs w:val="28"/>
        </w:rPr>
        <w:t>Sixth</w:t>
      </w:r>
      <w:r w:rsidR="00EE1322">
        <w:rPr>
          <w:sz w:val="28"/>
          <w:szCs w:val="28"/>
        </w:rPr>
        <w:t xml:space="preserve">, </w:t>
      </w:r>
      <w:r w:rsidR="005D001D">
        <w:rPr>
          <w:sz w:val="28"/>
          <w:szCs w:val="28"/>
        </w:rPr>
        <w:t xml:space="preserve">Pieron knew there was no </w:t>
      </w:r>
      <w:r w:rsidR="00723AE4">
        <w:rPr>
          <w:sz w:val="28"/>
          <w:szCs w:val="28"/>
        </w:rPr>
        <w:t>effort by ILQ, Tanner</w:t>
      </w:r>
      <w:r w:rsidR="00D044B5">
        <w:rPr>
          <w:sz w:val="28"/>
          <w:szCs w:val="28"/>
        </w:rPr>
        <w:t xml:space="preserve"> </w:t>
      </w:r>
      <w:r w:rsidR="008B3A93">
        <w:rPr>
          <w:sz w:val="28"/>
          <w:szCs w:val="28"/>
        </w:rPr>
        <w:t>or</w:t>
      </w:r>
      <w:r w:rsidR="00723AE4">
        <w:rPr>
          <w:sz w:val="28"/>
          <w:szCs w:val="28"/>
        </w:rPr>
        <w:t xml:space="preserve"> Krier to violate NFA Compliance Rules, </w:t>
      </w:r>
      <w:r w:rsidR="001F7B39">
        <w:rPr>
          <w:sz w:val="28"/>
          <w:szCs w:val="28"/>
        </w:rPr>
        <w:t xml:space="preserve">and </w:t>
      </w:r>
      <w:r w:rsidR="001F7B39">
        <w:rPr>
          <w:sz w:val="28"/>
          <w:szCs w:val="28"/>
        </w:rPr>
        <w:lastRenderedPageBreak/>
        <w:t xml:space="preserve">knew of no </w:t>
      </w:r>
      <w:r w:rsidR="00723AE4">
        <w:rPr>
          <w:sz w:val="28"/>
          <w:szCs w:val="28"/>
        </w:rPr>
        <w:t xml:space="preserve">threat to the integrity of ILQ’s efforts to cooperate </w:t>
      </w:r>
      <w:r w:rsidR="00F90644">
        <w:rPr>
          <w:sz w:val="28"/>
          <w:szCs w:val="28"/>
        </w:rPr>
        <w:t xml:space="preserve">so that </w:t>
      </w:r>
      <w:r w:rsidR="00723AE4">
        <w:rPr>
          <w:sz w:val="28"/>
          <w:szCs w:val="28"/>
        </w:rPr>
        <w:t xml:space="preserve">the NFA requests were fulfilled. </w:t>
      </w:r>
      <w:r w:rsidR="00723AE4" w:rsidRPr="00723AE4">
        <w:rPr>
          <w:b/>
          <w:sz w:val="28"/>
          <w:szCs w:val="28"/>
        </w:rPr>
        <w:t>Seventh</w:t>
      </w:r>
      <w:r w:rsidR="00723AE4">
        <w:rPr>
          <w:sz w:val="28"/>
          <w:szCs w:val="28"/>
        </w:rPr>
        <w:t xml:space="preserve">, </w:t>
      </w:r>
      <w:r w:rsidR="004759C1">
        <w:rPr>
          <w:sz w:val="28"/>
          <w:szCs w:val="28"/>
        </w:rPr>
        <w:t xml:space="preserve">there is an absence of any fact pinpointing deliberate indifference by Pieron to the NFA’s requests for </w:t>
      </w:r>
      <w:r w:rsidR="009B3328">
        <w:rPr>
          <w:sz w:val="28"/>
          <w:szCs w:val="28"/>
        </w:rPr>
        <w:t xml:space="preserve">HMcP </w:t>
      </w:r>
      <w:r w:rsidR="008B3A93">
        <w:rPr>
          <w:sz w:val="28"/>
          <w:szCs w:val="28"/>
        </w:rPr>
        <w:t xml:space="preserve">financial information.  </w:t>
      </w:r>
      <w:r w:rsidR="00723AE4" w:rsidRPr="00723AE4">
        <w:rPr>
          <w:b/>
          <w:sz w:val="28"/>
          <w:szCs w:val="28"/>
        </w:rPr>
        <w:t>Eighth</w:t>
      </w:r>
      <w:r w:rsidR="00723AE4">
        <w:rPr>
          <w:sz w:val="28"/>
          <w:szCs w:val="28"/>
        </w:rPr>
        <w:t xml:space="preserve">, </w:t>
      </w:r>
      <w:r w:rsidR="004759C1">
        <w:rPr>
          <w:sz w:val="28"/>
          <w:szCs w:val="28"/>
        </w:rPr>
        <w:t xml:space="preserve">there was no tacit authorization by Pieron for Tanner and/or Krier to delay in seeing that the NFA’s requests of </w:t>
      </w:r>
      <w:r w:rsidR="009B3328">
        <w:rPr>
          <w:sz w:val="28"/>
          <w:szCs w:val="28"/>
        </w:rPr>
        <w:t xml:space="preserve">HMcP </w:t>
      </w:r>
      <w:proofErr w:type="gramStart"/>
      <w:r w:rsidR="004759C1">
        <w:rPr>
          <w:sz w:val="28"/>
          <w:szCs w:val="28"/>
        </w:rPr>
        <w:t>were met</w:t>
      </w:r>
      <w:proofErr w:type="gramEnd"/>
      <w:r w:rsidR="004759C1">
        <w:rPr>
          <w:sz w:val="28"/>
          <w:szCs w:val="28"/>
        </w:rPr>
        <w:t xml:space="preserve">.  </w:t>
      </w:r>
      <w:r w:rsidR="00723AE4">
        <w:rPr>
          <w:b/>
          <w:sz w:val="28"/>
          <w:szCs w:val="28"/>
        </w:rPr>
        <w:t xml:space="preserve">Ninth, </w:t>
      </w:r>
      <w:r w:rsidR="00EE1322">
        <w:rPr>
          <w:sz w:val="28"/>
          <w:szCs w:val="28"/>
        </w:rPr>
        <w:t xml:space="preserve">Pieron was aware and comforted by the fact that the NFA was having direct communications with Mawdsley toward fulfilling the NFA’s requests.  </w:t>
      </w:r>
      <w:r w:rsidR="00723AE4">
        <w:rPr>
          <w:b/>
          <w:sz w:val="28"/>
          <w:szCs w:val="28"/>
        </w:rPr>
        <w:t>Tenth</w:t>
      </w:r>
      <w:r w:rsidR="004759C1">
        <w:rPr>
          <w:b/>
          <w:sz w:val="28"/>
          <w:szCs w:val="28"/>
        </w:rPr>
        <w:t xml:space="preserve">, </w:t>
      </w:r>
      <w:r w:rsidR="008E4544">
        <w:rPr>
          <w:sz w:val="28"/>
          <w:szCs w:val="28"/>
        </w:rPr>
        <w:t xml:space="preserve">Pieron learned that the NFA’s requests </w:t>
      </w:r>
      <w:proofErr w:type="gramStart"/>
      <w:r w:rsidR="008E4544">
        <w:rPr>
          <w:sz w:val="28"/>
          <w:szCs w:val="28"/>
        </w:rPr>
        <w:t>were met</w:t>
      </w:r>
      <w:proofErr w:type="gramEnd"/>
      <w:r w:rsidR="008E4544">
        <w:rPr>
          <w:sz w:val="28"/>
          <w:szCs w:val="28"/>
        </w:rPr>
        <w:t xml:space="preserve"> by the production of the requested </w:t>
      </w:r>
      <w:r w:rsidR="009B3328">
        <w:rPr>
          <w:sz w:val="28"/>
          <w:szCs w:val="28"/>
        </w:rPr>
        <w:t xml:space="preserve">HMcP </w:t>
      </w:r>
      <w:r w:rsidR="008E4544">
        <w:rPr>
          <w:sz w:val="28"/>
          <w:szCs w:val="28"/>
        </w:rPr>
        <w:t>financial statements.</w:t>
      </w:r>
      <w:r w:rsidR="000B1D9F">
        <w:rPr>
          <w:sz w:val="28"/>
          <w:szCs w:val="28"/>
        </w:rPr>
        <w:t xml:space="preserve"> </w:t>
      </w:r>
      <w:r w:rsidR="001C6F09">
        <w:rPr>
          <w:sz w:val="28"/>
          <w:szCs w:val="28"/>
        </w:rPr>
        <w:t>Those steps a</w:t>
      </w:r>
      <w:r w:rsidR="00E57133">
        <w:rPr>
          <w:sz w:val="28"/>
          <w:szCs w:val="28"/>
        </w:rPr>
        <w:t>re</w:t>
      </w:r>
      <w:r w:rsidR="001C6F09">
        <w:rPr>
          <w:sz w:val="28"/>
          <w:szCs w:val="28"/>
        </w:rPr>
        <w:t xml:space="preserve"> indicia of good management </w:t>
      </w:r>
      <w:r w:rsidR="00E57133">
        <w:rPr>
          <w:sz w:val="28"/>
          <w:szCs w:val="28"/>
        </w:rPr>
        <w:t xml:space="preserve">and </w:t>
      </w:r>
      <w:r w:rsidR="001C6F09">
        <w:rPr>
          <w:sz w:val="28"/>
          <w:szCs w:val="28"/>
        </w:rPr>
        <w:t>do not represent negligence, a breach of a duty of care</w:t>
      </w:r>
      <w:r w:rsidR="008B3A93">
        <w:rPr>
          <w:sz w:val="28"/>
          <w:szCs w:val="28"/>
        </w:rPr>
        <w:t>,</w:t>
      </w:r>
      <w:r w:rsidR="000E0413">
        <w:rPr>
          <w:sz w:val="28"/>
          <w:szCs w:val="28"/>
        </w:rPr>
        <w:t xml:space="preserve"> or a lack of diligent supervision of employee conduct.</w:t>
      </w:r>
      <w:r w:rsidR="001168D2">
        <w:rPr>
          <w:sz w:val="28"/>
          <w:szCs w:val="28"/>
        </w:rPr>
        <w:t xml:space="preserve">  Pieron has no liabi</w:t>
      </w:r>
      <w:r w:rsidR="00B82484">
        <w:rPr>
          <w:sz w:val="28"/>
          <w:szCs w:val="28"/>
        </w:rPr>
        <w:t xml:space="preserve">lity for </w:t>
      </w:r>
      <w:r w:rsidR="00E57133">
        <w:rPr>
          <w:sz w:val="28"/>
          <w:szCs w:val="28"/>
        </w:rPr>
        <w:t xml:space="preserve">violating Rule 2-36(e) or for </w:t>
      </w:r>
      <w:r w:rsidR="00B82484">
        <w:rPr>
          <w:sz w:val="28"/>
          <w:szCs w:val="28"/>
        </w:rPr>
        <w:t>failing to supervise</w:t>
      </w:r>
      <w:r w:rsidR="009D7AE4">
        <w:rPr>
          <w:sz w:val="28"/>
          <w:szCs w:val="28"/>
        </w:rPr>
        <w:t xml:space="preserve">. </w:t>
      </w:r>
      <w:r w:rsidR="00E57133">
        <w:rPr>
          <w:sz w:val="28"/>
          <w:szCs w:val="28"/>
        </w:rPr>
        <w:t xml:space="preserve">Pieron’s </w:t>
      </w:r>
      <w:r w:rsidR="00B82484">
        <w:rPr>
          <w:sz w:val="28"/>
          <w:szCs w:val="28"/>
        </w:rPr>
        <w:t xml:space="preserve">conduct was reasonable under any interpretation of his duties as a supervisor.  </w:t>
      </w:r>
    </w:p>
    <w:p w:rsidR="003B4C4C" w:rsidRPr="003B4C4C" w:rsidRDefault="004A3A1E" w:rsidP="00AF0A5E">
      <w:pPr>
        <w:contextualSpacing/>
        <w:jc w:val="both"/>
        <w:rPr>
          <w:b/>
          <w:sz w:val="28"/>
          <w:szCs w:val="28"/>
        </w:rPr>
      </w:pPr>
      <w:r w:rsidRPr="003B4C4C">
        <w:rPr>
          <w:b/>
          <w:sz w:val="28"/>
          <w:szCs w:val="28"/>
        </w:rPr>
        <w:t>Paragraph</w:t>
      </w:r>
      <w:r w:rsidR="003B4C4C" w:rsidRPr="003B4C4C">
        <w:rPr>
          <w:b/>
          <w:sz w:val="28"/>
          <w:szCs w:val="28"/>
        </w:rPr>
        <w:t xml:space="preserve"> by Paragraph </w:t>
      </w:r>
    </w:p>
    <w:p w:rsidR="003B4C4C" w:rsidRDefault="003B4C4C" w:rsidP="00AF0A5E">
      <w:pPr>
        <w:contextualSpacing/>
        <w:jc w:val="both"/>
        <w:rPr>
          <w:b/>
          <w:sz w:val="28"/>
          <w:szCs w:val="28"/>
          <w:u w:val="single"/>
        </w:rPr>
      </w:pPr>
      <w:r>
        <w:rPr>
          <w:b/>
          <w:sz w:val="28"/>
          <w:szCs w:val="28"/>
          <w:u w:val="single"/>
        </w:rPr>
        <w:t>Specific Answers to the Complaint</w:t>
      </w:r>
    </w:p>
    <w:p w:rsidR="00D33BA1" w:rsidRDefault="00D33BA1" w:rsidP="00AF0A5E">
      <w:pPr>
        <w:contextualSpacing/>
        <w:jc w:val="both"/>
        <w:rPr>
          <w:b/>
          <w:sz w:val="28"/>
          <w:szCs w:val="28"/>
          <w:u w:val="single"/>
        </w:rPr>
      </w:pPr>
    </w:p>
    <w:p w:rsidR="003B4C4C" w:rsidRPr="003B4C4C" w:rsidRDefault="003B4C4C" w:rsidP="00AF0A5E">
      <w:pPr>
        <w:pStyle w:val="ListParagraph"/>
        <w:numPr>
          <w:ilvl w:val="0"/>
          <w:numId w:val="13"/>
        </w:numPr>
        <w:spacing w:line="480" w:lineRule="auto"/>
        <w:ind w:left="0" w:firstLine="720"/>
        <w:jc w:val="both"/>
        <w:rPr>
          <w:sz w:val="28"/>
          <w:szCs w:val="28"/>
        </w:rPr>
      </w:pPr>
      <w:r>
        <w:rPr>
          <w:sz w:val="28"/>
          <w:szCs w:val="28"/>
        </w:rPr>
        <w:t>The following paragraphs correspond by number to the numbered paragraphs in the NFA’s January 13, 2014 Complaint.</w:t>
      </w:r>
    </w:p>
    <w:p w:rsidR="00654C01" w:rsidRDefault="00654C01" w:rsidP="00AF0A5E">
      <w:pPr>
        <w:contextualSpacing/>
        <w:jc w:val="both"/>
        <w:rPr>
          <w:b/>
          <w:sz w:val="28"/>
          <w:szCs w:val="28"/>
          <w:u w:val="single"/>
        </w:rPr>
      </w:pPr>
      <w:r w:rsidRPr="00654C01">
        <w:rPr>
          <w:b/>
          <w:sz w:val="28"/>
          <w:szCs w:val="28"/>
          <w:u w:val="single"/>
        </w:rPr>
        <w:t>J</w:t>
      </w:r>
      <w:r w:rsidR="00E15F14">
        <w:rPr>
          <w:b/>
          <w:sz w:val="28"/>
          <w:szCs w:val="28"/>
          <w:u w:val="single"/>
        </w:rPr>
        <w:t>urisdiction</w:t>
      </w:r>
    </w:p>
    <w:p w:rsidR="00D33BA1" w:rsidRPr="00654C01" w:rsidRDefault="00D33BA1" w:rsidP="00AF0A5E">
      <w:pPr>
        <w:contextualSpacing/>
        <w:jc w:val="both"/>
        <w:rPr>
          <w:b/>
          <w:sz w:val="28"/>
          <w:szCs w:val="28"/>
          <w:u w:val="single"/>
        </w:rPr>
      </w:pPr>
    </w:p>
    <w:p w:rsidR="003A5B23" w:rsidRDefault="003A5B23" w:rsidP="00AF0A5E">
      <w:pPr>
        <w:pStyle w:val="ListParagraph"/>
        <w:numPr>
          <w:ilvl w:val="0"/>
          <w:numId w:val="1"/>
        </w:numPr>
        <w:spacing w:line="480" w:lineRule="auto"/>
        <w:ind w:left="0" w:firstLine="720"/>
        <w:contextualSpacing w:val="0"/>
        <w:jc w:val="both"/>
        <w:rPr>
          <w:sz w:val="28"/>
          <w:szCs w:val="28"/>
        </w:rPr>
      </w:pPr>
      <w:r>
        <w:rPr>
          <w:sz w:val="28"/>
          <w:szCs w:val="28"/>
        </w:rPr>
        <w:t>Admits the allegations in paragraph 1.</w:t>
      </w:r>
    </w:p>
    <w:p w:rsidR="003A5B23" w:rsidRDefault="003A5B23" w:rsidP="00AF0A5E">
      <w:pPr>
        <w:pStyle w:val="ListParagraph"/>
        <w:numPr>
          <w:ilvl w:val="0"/>
          <w:numId w:val="1"/>
        </w:numPr>
        <w:spacing w:line="480" w:lineRule="auto"/>
        <w:ind w:left="0" w:firstLine="720"/>
        <w:contextualSpacing w:val="0"/>
        <w:jc w:val="both"/>
        <w:rPr>
          <w:sz w:val="28"/>
          <w:szCs w:val="28"/>
        </w:rPr>
      </w:pPr>
      <w:r>
        <w:rPr>
          <w:sz w:val="28"/>
          <w:szCs w:val="28"/>
        </w:rPr>
        <w:t>Admits the allegations in paragraph 2.</w:t>
      </w:r>
    </w:p>
    <w:p w:rsidR="003A5B23" w:rsidRDefault="003A5B23" w:rsidP="00AF0A5E">
      <w:pPr>
        <w:pStyle w:val="ListParagraph"/>
        <w:numPr>
          <w:ilvl w:val="0"/>
          <w:numId w:val="1"/>
        </w:numPr>
        <w:spacing w:line="480" w:lineRule="auto"/>
        <w:ind w:left="0" w:firstLine="720"/>
        <w:contextualSpacing w:val="0"/>
        <w:jc w:val="both"/>
        <w:rPr>
          <w:sz w:val="28"/>
          <w:szCs w:val="28"/>
        </w:rPr>
      </w:pPr>
      <w:r>
        <w:rPr>
          <w:sz w:val="28"/>
          <w:szCs w:val="28"/>
        </w:rPr>
        <w:t>Admits the allegations in paragraph 3.</w:t>
      </w:r>
    </w:p>
    <w:p w:rsidR="003A5B23" w:rsidRDefault="003A5B23" w:rsidP="00AF0A5E">
      <w:pPr>
        <w:pStyle w:val="ListParagraph"/>
        <w:numPr>
          <w:ilvl w:val="0"/>
          <w:numId w:val="1"/>
        </w:numPr>
        <w:spacing w:line="480" w:lineRule="auto"/>
        <w:ind w:left="0" w:firstLine="720"/>
        <w:contextualSpacing w:val="0"/>
        <w:jc w:val="both"/>
        <w:rPr>
          <w:sz w:val="28"/>
          <w:szCs w:val="28"/>
        </w:rPr>
      </w:pPr>
      <w:r>
        <w:rPr>
          <w:sz w:val="28"/>
          <w:szCs w:val="28"/>
        </w:rPr>
        <w:lastRenderedPageBreak/>
        <w:t>Admits the allegations in paragraph 4.</w:t>
      </w:r>
    </w:p>
    <w:p w:rsidR="002D768E" w:rsidRPr="002D768E" w:rsidRDefault="002D768E" w:rsidP="00AF0A5E">
      <w:pPr>
        <w:spacing w:after="240"/>
        <w:contextualSpacing/>
        <w:jc w:val="both"/>
        <w:rPr>
          <w:b/>
          <w:sz w:val="28"/>
          <w:szCs w:val="28"/>
          <w:u w:val="single"/>
        </w:rPr>
      </w:pPr>
      <w:r w:rsidRPr="002D768E">
        <w:rPr>
          <w:b/>
          <w:sz w:val="28"/>
          <w:szCs w:val="28"/>
          <w:u w:val="single"/>
        </w:rPr>
        <w:t>B</w:t>
      </w:r>
      <w:r w:rsidR="00E15F14">
        <w:rPr>
          <w:b/>
          <w:sz w:val="28"/>
          <w:szCs w:val="28"/>
          <w:u w:val="single"/>
        </w:rPr>
        <w:t>a</w:t>
      </w:r>
      <w:r w:rsidR="001436E8">
        <w:rPr>
          <w:b/>
          <w:sz w:val="28"/>
          <w:szCs w:val="28"/>
          <w:u w:val="single"/>
        </w:rPr>
        <w:t>c</w:t>
      </w:r>
      <w:r w:rsidR="00E15F14">
        <w:rPr>
          <w:b/>
          <w:sz w:val="28"/>
          <w:szCs w:val="28"/>
          <w:u w:val="single"/>
        </w:rPr>
        <w:t>kground</w:t>
      </w:r>
    </w:p>
    <w:p w:rsidR="00AD00A1" w:rsidRDefault="00B33CF9" w:rsidP="00AF0A5E">
      <w:pPr>
        <w:pStyle w:val="ListParagraph"/>
        <w:numPr>
          <w:ilvl w:val="0"/>
          <w:numId w:val="1"/>
        </w:numPr>
        <w:spacing w:after="240" w:line="480" w:lineRule="auto"/>
        <w:ind w:left="0" w:firstLine="720"/>
        <w:jc w:val="both"/>
        <w:rPr>
          <w:sz w:val="28"/>
          <w:szCs w:val="28"/>
        </w:rPr>
      </w:pPr>
      <w:r>
        <w:rPr>
          <w:sz w:val="28"/>
          <w:szCs w:val="28"/>
        </w:rPr>
        <w:t>Admit</w:t>
      </w:r>
      <w:r w:rsidR="00A976B6">
        <w:rPr>
          <w:sz w:val="28"/>
          <w:szCs w:val="28"/>
        </w:rPr>
        <w:t>s</w:t>
      </w:r>
      <w:r>
        <w:rPr>
          <w:sz w:val="28"/>
          <w:szCs w:val="28"/>
        </w:rPr>
        <w:t xml:space="preserve"> the allegations in the </w:t>
      </w:r>
      <w:r w:rsidR="00D450AE">
        <w:rPr>
          <w:sz w:val="28"/>
          <w:szCs w:val="28"/>
        </w:rPr>
        <w:t>first four sentences in paragraph 5.</w:t>
      </w:r>
      <w:r w:rsidR="008E72D5">
        <w:rPr>
          <w:sz w:val="28"/>
          <w:szCs w:val="28"/>
        </w:rPr>
        <w:t xml:space="preserve">  </w:t>
      </w:r>
      <w:r w:rsidR="00627C7E">
        <w:rPr>
          <w:sz w:val="28"/>
          <w:szCs w:val="28"/>
        </w:rPr>
        <w:t xml:space="preserve">Deny </w:t>
      </w:r>
      <w:r w:rsidR="00A976B6">
        <w:rPr>
          <w:sz w:val="28"/>
          <w:szCs w:val="28"/>
        </w:rPr>
        <w:t>the allegations in the fifth sentence in paragraph 5</w:t>
      </w:r>
      <w:r w:rsidR="00326698">
        <w:rPr>
          <w:sz w:val="28"/>
          <w:szCs w:val="28"/>
        </w:rPr>
        <w:t>,</w:t>
      </w:r>
      <w:r w:rsidR="00A976B6">
        <w:rPr>
          <w:sz w:val="28"/>
          <w:szCs w:val="28"/>
        </w:rPr>
        <w:t xml:space="preserve"> </w:t>
      </w:r>
      <w:r w:rsidR="00627C7E">
        <w:rPr>
          <w:sz w:val="28"/>
          <w:szCs w:val="28"/>
        </w:rPr>
        <w:t xml:space="preserve">and further state that </w:t>
      </w:r>
      <w:r w:rsidR="005C6E61">
        <w:rPr>
          <w:sz w:val="28"/>
          <w:szCs w:val="28"/>
        </w:rPr>
        <w:t>the words “virtually every month”</w:t>
      </w:r>
      <w:r w:rsidR="00627C7E">
        <w:rPr>
          <w:sz w:val="28"/>
          <w:szCs w:val="28"/>
        </w:rPr>
        <w:t xml:space="preserve"> calls for a subjective determination</w:t>
      </w:r>
      <w:r w:rsidR="008B25F3">
        <w:rPr>
          <w:sz w:val="28"/>
          <w:szCs w:val="28"/>
        </w:rPr>
        <w:t>.</w:t>
      </w:r>
      <w:r w:rsidR="005C6E61">
        <w:rPr>
          <w:sz w:val="28"/>
          <w:szCs w:val="28"/>
        </w:rPr>
        <w:t xml:space="preserve">  </w:t>
      </w:r>
    </w:p>
    <w:p w:rsidR="00AD00A1" w:rsidRDefault="008E72D5" w:rsidP="00AF0A5E">
      <w:pPr>
        <w:pStyle w:val="ListParagraph"/>
        <w:numPr>
          <w:ilvl w:val="0"/>
          <w:numId w:val="1"/>
        </w:numPr>
        <w:spacing w:after="240" w:line="480" w:lineRule="auto"/>
        <w:ind w:left="0" w:firstLine="720"/>
        <w:jc w:val="both"/>
        <w:rPr>
          <w:sz w:val="28"/>
          <w:szCs w:val="28"/>
        </w:rPr>
      </w:pPr>
      <w:r>
        <w:rPr>
          <w:sz w:val="28"/>
          <w:szCs w:val="28"/>
        </w:rPr>
        <w:t>Upon information and belief, admits the allegations in paragraph 6, and</w:t>
      </w:r>
      <w:r w:rsidR="002D2F7C" w:rsidRPr="002D2F7C">
        <w:rPr>
          <w:sz w:val="28"/>
          <w:szCs w:val="28"/>
        </w:rPr>
        <w:t xml:space="preserve"> </w:t>
      </w:r>
      <w:r w:rsidR="002D2F7C">
        <w:rPr>
          <w:sz w:val="28"/>
          <w:szCs w:val="28"/>
        </w:rPr>
        <w:t>further states that those allegations have no relevance to the alleged violations</w:t>
      </w:r>
      <w:r>
        <w:rPr>
          <w:sz w:val="28"/>
          <w:szCs w:val="28"/>
        </w:rPr>
        <w:t>.</w:t>
      </w:r>
      <w:r w:rsidR="007B2C9F">
        <w:rPr>
          <w:sz w:val="28"/>
          <w:szCs w:val="28"/>
        </w:rPr>
        <w:t xml:space="preserve">  </w:t>
      </w:r>
      <w:r w:rsidR="00616168">
        <w:rPr>
          <w:sz w:val="28"/>
          <w:szCs w:val="28"/>
        </w:rPr>
        <w:t>ILQ further states that</w:t>
      </w:r>
      <w:r w:rsidR="00DC679C">
        <w:rPr>
          <w:sz w:val="28"/>
          <w:szCs w:val="28"/>
        </w:rPr>
        <w:t>, at its request,</w:t>
      </w:r>
      <w:r w:rsidR="00616168">
        <w:rPr>
          <w:sz w:val="28"/>
          <w:szCs w:val="28"/>
        </w:rPr>
        <w:t xml:space="preserve"> i</w:t>
      </w:r>
      <w:r w:rsidR="00E435B2">
        <w:rPr>
          <w:sz w:val="28"/>
          <w:szCs w:val="28"/>
        </w:rPr>
        <w:t xml:space="preserve">n mid-2010, </w:t>
      </w:r>
      <w:r w:rsidR="005B1E37">
        <w:rPr>
          <w:sz w:val="28"/>
          <w:szCs w:val="28"/>
        </w:rPr>
        <w:t xml:space="preserve">Pieron, </w:t>
      </w:r>
      <w:r w:rsidR="0001615B">
        <w:rPr>
          <w:sz w:val="28"/>
          <w:szCs w:val="28"/>
        </w:rPr>
        <w:t xml:space="preserve">HMcP </w:t>
      </w:r>
      <w:r w:rsidR="005B1E37">
        <w:rPr>
          <w:sz w:val="28"/>
          <w:szCs w:val="28"/>
        </w:rPr>
        <w:t xml:space="preserve">and counsel for ILQ, then an FCM, met with the NFA staff in Chicago </w:t>
      </w:r>
      <w:r w:rsidR="00A034B5">
        <w:rPr>
          <w:sz w:val="28"/>
          <w:szCs w:val="28"/>
        </w:rPr>
        <w:t>and discussed, among other things, funding, future business operations, Trevor Cook, the Martinez family, and ILQ’s forthcoming FDM application</w:t>
      </w:r>
      <w:r w:rsidR="002804B8">
        <w:rPr>
          <w:sz w:val="28"/>
          <w:szCs w:val="28"/>
        </w:rPr>
        <w:t xml:space="preserve">. </w:t>
      </w:r>
      <w:r w:rsidR="00A034B5">
        <w:rPr>
          <w:sz w:val="28"/>
          <w:szCs w:val="28"/>
        </w:rPr>
        <w:t xml:space="preserve">ILQ sought </w:t>
      </w:r>
      <w:r w:rsidR="00FE7674">
        <w:rPr>
          <w:sz w:val="28"/>
          <w:szCs w:val="28"/>
        </w:rPr>
        <w:t>the NFA’s informal endorsement</w:t>
      </w:r>
      <w:r w:rsidR="00A034B5">
        <w:rPr>
          <w:sz w:val="28"/>
          <w:szCs w:val="28"/>
        </w:rPr>
        <w:t xml:space="preserve"> to move forward. </w:t>
      </w:r>
      <w:r w:rsidR="00AB19E5">
        <w:rPr>
          <w:sz w:val="28"/>
          <w:szCs w:val="28"/>
        </w:rPr>
        <w:t xml:space="preserve">The NFA staff </w:t>
      </w:r>
      <w:r w:rsidR="00AB19E5" w:rsidRPr="005B7E85">
        <w:rPr>
          <w:sz w:val="28"/>
          <w:szCs w:val="28"/>
          <w:u w:val="single"/>
        </w:rPr>
        <w:t>took</w:t>
      </w:r>
      <w:r w:rsidR="00AB19E5">
        <w:rPr>
          <w:sz w:val="28"/>
          <w:szCs w:val="28"/>
        </w:rPr>
        <w:t xml:space="preserve"> </w:t>
      </w:r>
      <w:r w:rsidR="00AB19E5" w:rsidRPr="005B7E85">
        <w:rPr>
          <w:sz w:val="28"/>
          <w:szCs w:val="28"/>
          <w:u w:val="single"/>
        </w:rPr>
        <w:t>the</w:t>
      </w:r>
      <w:r w:rsidR="00AB19E5">
        <w:rPr>
          <w:sz w:val="28"/>
          <w:szCs w:val="28"/>
        </w:rPr>
        <w:t xml:space="preserve"> </w:t>
      </w:r>
      <w:r w:rsidR="00AB19E5" w:rsidRPr="005B7E85">
        <w:rPr>
          <w:sz w:val="28"/>
          <w:szCs w:val="28"/>
          <w:u w:val="single"/>
        </w:rPr>
        <w:t>opportunity</w:t>
      </w:r>
      <w:r w:rsidR="00AB19E5">
        <w:rPr>
          <w:sz w:val="28"/>
          <w:szCs w:val="28"/>
        </w:rPr>
        <w:t xml:space="preserve"> </w:t>
      </w:r>
      <w:r w:rsidR="00AB19E5" w:rsidRPr="005B7E85">
        <w:rPr>
          <w:sz w:val="28"/>
          <w:szCs w:val="28"/>
          <w:u w:val="single"/>
        </w:rPr>
        <w:t>to</w:t>
      </w:r>
      <w:r w:rsidR="00AB19E5">
        <w:rPr>
          <w:sz w:val="28"/>
          <w:szCs w:val="28"/>
        </w:rPr>
        <w:t xml:space="preserve"> </w:t>
      </w:r>
      <w:r w:rsidR="00AB19E5" w:rsidRPr="005B7E85">
        <w:rPr>
          <w:sz w:val="28"/>
          <w:szCs w:val="28"/>
          <w:u w:val="single"/>
        </w:rPr>
        <w:t>question</w:t>
      </w:r>
      <w:r w:rsidR="00AB19E5">
        <w:rPr>
          <w:sz w:val="28"/>
          <w:szCs w:val="28"/>
        </w:rPr>
        <w:t xml:space="preserve"> Pieron and </w:t>
      </w:r>
      <w:r w:rsidR="0001615B">
        <w:rPr>
          <w:sz w:val="28"/>
          <w:szCs w:val="28"/>
        </w:rPr>
        <w:t xml:space="preserve">HMcP </w:t>
      </w:r>
      <w:r w:rsidR="00AB19E5">
        <w:rPr>
          <w:sz w:val="28"/>
          <w:szCs w:val="28"/>
        </w:rPr>
        <w:t>about their business relationships.  ILQ was approved as an FDM in April 2011.</w:t>
      </w:r>
    </w:p>
    <w:p w:rsidR="00AD00A1" w:rsidRDefault="001C1274" w:rsidP="00AF0A5E">
      <w:pPr>
        <w:pStyle w:val="ListParagraph"/>
        <w:numPr>
          <w:ilvl w:val="0"/>
          <w:numId w:val="1"/>
        </w:numPr>
        <w:spacing w:after="240" w:line="480" w:lineRule="auto"/>
        <w:ind w:left="0" w:firstLine="720"/>
        <w:jc w:val="both"/>
        <w:rPr>
          <w:sz w:val="28"/>
          <w:szCs w:val="28"/>
        </w:rPr>
      </w:pPr>
      <w:r>
        <w:rPr>
          <w:sz w:val="28"/>
          <w:szCs w:val="28"/>
        </w:rPr>
        <w:t xml:space="preserve">ILQ </w:t>
      </w:r>
      <w:r w:rsidR="002D2F7C">
        <w:rPr>
          <w:sz w:val="28"/>
          <w:szCs w:val="28"/>
        </w:rPr>
        <w:t>is without sufficient information to admit or deny the allegations in paragraph 7, and therefore den</w:t>
      </w:r>
      <w:r w:rsidR="009B663A">
        <w:rPr>
          <w:sz w:val="28"/>
          <w:szCs w:val="28"/>
        </w:rPr>
        <w:t>ies</w:t>
      </w:r>
      <w:r w:rsidR="002D2F7C">
        <w:rPr>
          <w:sz w:val="28"/>
          <w:szCs w:val="28"/>
        </w:rPr>
        <w:t xml:space="preserve"> those allegations</w:t>
      </w:r>
      <w:r w:rsidR="009B663A">
        <w:rPr>
          <w:sz w:val="28"/>
          <w:szCs w:val="28"/>
        </w:rPr>
        <w:t xml:space="preserve">, and further </w:t>
      </w:r>
      <w:r w:rsidR="002D2F7C">
        <w:rPr>
          <w:sz w:val="28"/>
          <w:szCs w:val="28"/>
        </w:rPr>
        <w:t>states that those allegations have no relevance to the alleged violations.</w:t>
      </w:r>
    </w:p>
    <w:p w:rsidR="00AD00A1" w:rsidRDefault="00536E64" w:rsidP="00AF0A5E">
      <w:pPr>
        <w:pStyle w:val="ListParagraph"/>
        <w:numPr>
          <w:ilvl w:val="0"/>
          <w:numId w:val="1"/>
        </w:numPr>
        <w:spacing w:after="240" w:line="480" w:lineRule="auto"/>
        <w:ind w:left="0" w:firstLine="720"/>
        <w:jc w:val="both"/>
        <w:rPr>
          <w:sz w:val="28"/>
          <w:szCs w:val="28"/>
        </w:rPr>
      </w:pPr>
      <w:r>
        <w:rPr>
          <w:sz w:val="28"/>
          <w:szCs w:val="28"/>
        </w:rPr>
        <w:t xml:space="preserve">Upon information and belief, admits the allegations in paragraph 8, and further states </w:t>
      </w:r>
      <w:r w:rsidR="002D2F7C">
        <w:rPr>
          <w:sz w:val="28"/>
          <w:szCs w:val="28"/>
        </w:rPr>
        <w:t xml:space="preserve">that the allegations </w:t>
      </w:r>
      <w:r>
        <w:rPr>
          <w:sz w:val="28"/>
          <w:szCs w:val="28"/>
        </w:rPr>
        <w:t xml:space="preserve">are </w:t>
      </w:r>
      <w:r w:rsidR="002D2F7C">
        <w:rPr>
          <w:sz w:val="28"/>
          <w:szCs w:val="28"/>
        </w:rPr>
        <w:t>irrelevant to the alleged violations in the two Counts.</w:t>
      </w:r>
      <w:r w:rsidR="001F6B77">
        <w:rPr>
          <w:sz w:val="28"/>
          <w:szCs w:val="28"/>
        </w:rPr>
        <w:t xml:space="preserve">  </w:t>
      </w:r>
    </w:p>
    <w:p w:rsidR="002D34BC" w:rsidRDefault="001C35B7" w:rsidP="00AF0A5E">
      <w:pPr>
        <w:pStyle w:val="ListParagraph"/>
        <w:numPr>
          <w:ilvl w:val="0"/>
          <w:numId w:val="1"/>
        </w:numPr>
        <w:spacing w:after="240" w:line="480" w:lineRule="auto"/>
        <w:ind w:left="0" w:firstLine="720"/>
        <w:jc w:val="both"/>
        <w:rPr>
          <w:sz w:val="28"/>
          <w:szCs w:val="28"/>
        </w:rPr>
      </w:pPr>
      <w:r>
        <w:rPr>
          <w:sz w:val="28"/>
          <w:szCs w:val="28"/>
        </w:rPr>
        <w:lastRenderedPageBreak/>
        <w:t xml:space="preserve">Admits the allegations in the first </w:t>
      </w:r>
      <w:r w:rsidR="00C05DD0">
        <w:rPr>
          <w:sz w:val="28"/>
          <w:szCs w:val="28"/>
        </w:rPr>
        <w:t xml:space="preserve">and second </w:t>
      </w:r>
      <w:r>
        <w:rPr>
          <w:sz w:val="28"/>
          <w:szCs w:val="28"/>
        </w:rPr>
        <w:t>sentence</w:t>
      </w:r>
      <w:r w:rsidR="00C05DD0">
        <w:rPr>
          <w:sz w:val="28"/>
          <w:szCs w:val="28"/>
        </w:rPr>
        <w:t>s</w:t>
      </w:r>
      <w:r>
        <w:rPr>
          <w:sz w:val="28"/>
          <w:szCs w:val="28"/>
        </w:rPr>
        <w:t xml:space="preserve"> </w:t>
      </w:r>
      <w:r w:rsidR="009A5042">
        <w:rPr>
          <w:sz w:val="28"/>
          <w:szCs w:val="28"/>
        </w:rPr>
        <w:t xml:space="preserve">in </w:t>
      </w:r>
      <w:r>
        <w:rPr>
          <w:sz w:val="28"/>
          <w:szCs w:val="28"/>
        </w:rPr>
        <w:t xml:space="preserve">paragraph 9.  </w:t>
      </w:r>
      <w:r w:rsidR="00846704">
        <w:rPr>
          <w:sz w:val="28"/>
          <w:szCs w:val="28"/>
        </w:rPr>
        <w:t>D</w:t>
      </w:r>
      <w:r w:rsidR="00FD18AD">
        <w:rPr>
          <w:sz w:val="28"/>
          <w:szCs w:val="28"/>
        </w:rPr>
        <w:t xml:space="preserve">enies the allegations in the third sentence in paragraph 9 in that the term “business relationship” </w:t>
      </w:r>
      <w:r w:rsidR="00846704">
        <w:rPr>
          <w:sz w:val="28"/>
          <w:szCs w:val="28"/>
        </w:rPr>
        <w:t xml:space="preserve">implies </w:t>
      </w:r>
      <w:r w:rsidR="004C1F17" w:rsidRPr="00586834">
        <w:rPr>
          <w:b/>
          <w:sz w:val="28"/>
          <w:szCs w:val="28"/>
        </w:rPr>
        <w:t>(</w:t>
      </w:r>
      <w:r w:rsidR="002C0240" w:rsidRPr="00586834">
        <w:rPr>
          <w:b/>
          <w:sz w:val="28"/>
          <w:szCs w:val="28"/>
        </w:rPr>
        <w:t>a</w:t>
      </w:r>
      <w:r w:rsidR="004C1F17" w:rsidRPr="00586834">
        <w:rPr>
          <w:b/>
          <w:sz w:val="28"/>
          <w:szCs w:val="28"/>
        </w:rPr>
        <w:t>)</w:t>
      </w:r>
      <w:r w:rsidR="004C1F17">
        <w:rPr>
          <w:sz w:val="28"/>
          <w:szCs w:val="28"/>
        </w:rPr>
        <w:t xml:space="preserve"> </w:t>
      </w:r>
      <w:r w:rsidR="00846704">
        <w:rPr>
          <w:sz w:val="28"/>
          <w:szCs w:val="28"/>
        </w:rPr>
        <w:t>something more than an arm’s</w:t>
      </w:r>
      <w:r w:rsidR="00D90D52">
        <w:rPr>
          <w:sz w:val="28"/>
          <w:szCs w:val="28"/>
        </w:rPr>
        <w:t xml:space="preserve"> </w:t>
      </w:r>
      <w:r w:rsidR="00846704">
        <w:rPr>
          <w:sz w:val="28"/>
          <w:szCs w:val="28"/>
        </w:rPr>
        <w:t xml:space="preserve">length business relationship and </w:t>
      </w:r>
      <w:r w:rsidR="004C1F17" w:rsidRPr="00586834">
        <w:rPr>
          <w:b/>
          <w:sz w:val="28"/>
          <w:szCs w:val="28"/>
        </w:rPr>
        <w:t>(</w:t>
      </w:r>
      <w:r w:rsidR="002C0240" w:rsidRPr="00586834">
        <w:rPr>
          <w:b/>
          <w:sz w:val="28"/>
          <w:szCs w:val="28"/>
        </w:rPr>
        <w:t>b</w:t>
      </w:r>
      <w:r w:rsidR="004C1F17" w:rsidRPr="00586834">
        <w:rPr>
          <w:b/>
          <w:sz w:val="28"/>
          <w:szCs w:val="28"/>
        </w:rPr>
        <w:t>)</w:t>
      </w:r>
      <w:r w:rsidR="004C1F17">
        <w:rPr>
          <w:sz w:val="28"/>
          <w:szCs w:val="28"/>
        </w:rPr>
        <w:t xml:space="preserve"> </w:t>
      </w:r>
      <w:r w:rsidR="00846704">
        <w:rPr>
          <w:sz w:val="28"/>
          <w:szCs w:val="28"/>
        </w:rPr>
        <w:t xml:space="preserve">that </w:t>
      </w:r>
      <w:r w:rsidR="00020823">
        <w:rPr>
          <w:sz w:val="28"/>
          <w:szCs w:val="28"/>
        </w:rPr>
        <w:t xml:space="preserve">Pieron </w:t>
      </w:r>
      <w:r w:rsidR="00846704">
        <w:rPr>
          <w:sz w:val="28"/>
          <w:szCs w:val="28"/>
        </w:rPr>
        <w:t xml:space="preserve">was </w:t>
      </w:r>
      <w:r w:rsidR="002E70B1">
        <w:rPr>
          <w:sz w:val="28"/>
          <w:szCs w:val="28"/>
        </w:rPr>
        <w:t xml:space="preserve">somehow </w:t>
      </w:r>
      <w:r w:rsidR="00846704">
        <w:rPr>
          <w:sz w:val="28"/>
          <w:szCs w:val="28"/>
        </w:rPr>
        <w:t>involved</w:t>
      </w:r>
      <w:r w:rsidR="004C1F17">
        <w:rPr>
          <w:sz w:val="28"/>
          <w:szCs w:val="28"/>
        </w:rPr>
        <w:t xml:space="preserve"> with Cook’s criminal conduct. </w:t>
      </w:r>
      <w:r w:rsidR="008452E2">
        <w:rPr>
          <w:sz w:val="28"/>
          <w:szCs w:val="28"/>
        </w:rPr>
        <w:t xml:space="preserve">Upon information and belief, admits the allegations in the </w:t>
      </w:r>
      <w:r w:rsidR="002D34BC">
        <w:rPr>
          <w:sz w:val="28"/>
          <w:szCs w:val="28"/>
        </w:rPr>
        <w:t xml:space="preserve">fourth sentence </w:t>
      </w:r>
      <w:r w:rsidR="009A5042">
        <w:rPr>
          <w:sz w:val="28"/>
          <w:szCs w:val="28"/>
        </w:rPr>
        <w:t>in</w:t>
      </w:r>
      <w:r w:rsidR="000D1070">
        <w:rPr>
          <w:sz w:val="28"/>
          <w:szCs w:val="28"/>
        </w:rPr>
        <w:t xml:space="preserve"> </w:t>
      </w:r>
      <w:r w:rsidR="002D34BC">
        <w:rPr>
          <w:sz w:val="28"/>
          <w:szCs w:val="28"/>
        </w:rPr>
        <w:t>paragraph 9, and further states that those allegations have no relevance to the alleged violations.</w:t>
      </w:r>
    </w:p>
    <w:p w:rsidR="00C31A12" w:rsidRDefault="001820C4" w:rsidP="00AF0A5E">
      <w:pPr>
        <w:pStyle w:val="ListParagraph"/>
        <w:numPr>
          <w:ilvl w:val="0"/>
          <w:numId w:val="1"/>
        </w:numPr>
        <w:spacing w:after="240" w:line="480" w:lineRule="auto"/>
        <w:ind w:left="0" w:firstLine="720"/>
        <w:jc w:val="both"/>
        <w:rPr>
          <w:sz w:val="28"/>
          <w:szCs w:val="28"/>
        </w:rPr>
      </w:pPr>
      <w:r>
        <w:rPr>
          <w:sz w:val="28"/>
          <w:szCs w:val="28"/>
        </w:rPr>
        <w:t>Admit</w:t>
      </w:r>
      <w:r w:rsidR="00B06D80">
        <w:rPr>
          <w:sz w:val="28"/>
          <w:szCs w:val="28"/>
        </w:rPr>
        <w:t>s</w:t>
      </w:r>
      <w:r>
        <w:rPr>
          <w:sz w:val="28"/>
          <w:szCs w:val="28"/>
        </w:rPr>
        <w:t xml:space="preserve"> the allegations in the first sentence in paragraph 10</w:t>
      </w:r>
      <w:r w:rsidR="00231F4B">
        <w:rPr>
          <w:sz w:val="28"/>
          <w:szCs w:val="28"/>
        </w:rPr>
        <w:t xml:space="preserve">, </w:t>
      </w:r>
      <w:r>
        <w:rPr>
          <w:sz w:val="28"/>
          <w:szCs w:val="28"/>
        </w:rPr>
        <w:t xml:space="preserve">except </w:t>
      </w:r>
      <w:r w:rsidR="00231F4B">
        <w:rPr>
          <w:sz w:val="28"/>
          <w:szCs w:val="28"/>
        </w:rPr>
        <w:t>den</w:t>
      </w:r>
      <w:r w:rsidR="00C31A12">
        <w:rPr>
          <w:sz w:val="28"/>
          <w:szCs w:val="28"/>
        </w:rPr>
        <w:t>ies</w:t>
      </w:r>
      <w:r w:rsidR="00231F4B">
        <w:rPr>
          <w:sz w:val="28"/>
          <w:szCs w:val="28"/>
        </w:rPr>
        <w:t xml:space="preserve"> </w:t>
      </w:r>
      <w:r>
        <w:rPr>
          <w:sz w:val="28"/>
          <w:szCs w:val="28"/>
        </w:rPr>
        <w:t>the use of the term “business partner</w:t>
      </w:r>
      <w:r w:rsidR="00A44F13">
        <w:rPr>
          <w:sz w:val="28"/>
          <w:szCs w:val="28"/>
        </w:rPr>
        <w:t>,</w:t>
      </w:r>
      <w:r>
        <w:rPr>
          <w:sz w:val="28"/>
          <w:szCs w:val="28"/>
        </w:rPr>
        <w:t xml:space="preserve">” </w:t>
      </w:r>
      <w:r w:rsidR="00A44F13">
        <w:rPr>
          <w:sz w:val="28"/>
          <w:szCs w:val="28"/>
        </w:rPr>
        <w:t>and further states that those allegations have no relevance to the alleged violations.</w:t>
      </w:r>
      <w:r w:rsidR="00CD3FF0">
        <w:rPr>
          <w:sz w:val="28"/>
          <w:szCs w:val="28"/>
        </w:rPr>
        <w:t xml:space="preserve"> </w:t>
      </w:r>
      <w:r w:rsidR="00183E19">
        <w:rPr>
          <w:sz w:val="28"/>
          <w:szCs w:val="28"/>
        </w:rPr>
        <w:t xml:space="preserve">ILQ </w:t>
      </w:r>
      <w:r w:rsidR="00C31A12">
        <w:rPr>
          <w:sz w:val="28"/>
          <w:szCs w:val="28"/>
        </w:rPr>
        <w:t xml:space="preserve">is without sufficient information to admit or deny the allegations in the second sentence in paragraph 10, and therefore denies those allegations, and further states that those allegations have no relevance to the alleged violations.  Upon information and belief, admits the allegations in the third sentence in paragraph 10.  </w:t>
      </w:r>
    </w:p>
    <w:p w:rsidR="00A44F13" w:rsidRDefault="001C4FD8" w:rsidP="00AF0A5E">
      <w:pPr>
        <w:pStyle w:val="ListParagraph"/>
        <w:numPr>
          <w:ilvl w:val="0"/>
          <w:numId w:val="1"/>
        </w:numPr>
        <w:spacing w:after="240" w:line="480" w:lineRule="auto"/>
        <w:ind w:left="0" w:firstLine="720"/>
        <w:jc w:val="both"/>
        <w:rPr>
          <w:sz w:val="28"/>
          <w:szCs w:val="28"/>
        </w:rPr>
      </w:pPr>
      <w:r>
        <w:rPr>
          <w:sz w:val="28"/>
          <w:szCs w:val="28"/>
        </w:rPr>
        <w:t>Admit</w:t>
      </w:r>
      <w:r w:rsidR="0075023B">
        <w:rPr>
          <w:sz w:val="28"/>
          <w:szCs w:val="28"/>
        </w:rPr>
        <w:t>s</w:t>
      </w:r>
      <w:r>
        <w:rPr>
          <w:sz w:val="28"/>
          <w:szCs w:val="28"/>
        </w:rPr>
        <w:t xml:space="preserve"> the allegations in the first </w:t>
      </w:r>
      <w:r w:rsidR="00624E5B">
        <w:rPr>
          <w:sz w:val="28"/>
          <w:szCs w:val="28"/>
        </w:rPr>
        <w:t xml:space="preserve">and second </w:t>
      </w:r>
      <w:r>
        <w:rPr>
          <w:sz w:val="28"/>
          <w:szCs w:val="28"/>
        </w:rPr>
        <w:t xml:space="preserve">sentences </w:t>
      </w:r>
      <w:r w:rsidR="00E27A88">
        <w:rPr>
          <w:sz w:val="28"/>
          <w:szCs w:val="28"/>
        </w:rPr>
        <w:t xml:space="preserve">in </w:t>
      </w:r>
      <w:r>
        <w:rPr>
          <w:sz w:val="28"/>
          <w:szCs w:val="28"/>
        </w:rPr>
        <w:t>paragraph 11</w:t>
      </w:r>
      <w:r w:rsidR="00B20D5E">
        <w:rPr>
          <w:sz w:val="28"/>
          <w:szCs w:val="28"/>
        </w:rPr>
        <w:t xml:space="preserve">.  </w:t>
      </w:r>
      <w:r w:rsidR="00624E5B">
        <w:rPr>
          <w:sz w:val="28"/>
          <w:szCs w:val="28"/>
        </w:rPr>
        <w:t xml:space="preserve">Deny the allegations in the third </w:t>
      </w:r>
      <w:r w:rsidR="001436E8">
        <w:rPr>
          <w:sz w:val="28"/>
          <w:szCs w:val="28"/>
        </w:rPr>
        <w:t xml:space="preserve">and fourth </w:t>
      </w:r>
      <w:r w:rsidR="00624E5B">
        <w:rPr>
          <w:sz w:val="28"/>
          <w:szCs w:val="28"/>
        </w:rPr>
        <w:t>sentence</w:t>
      </w:r>
      <w:r w:rsidR="001436E8">
        <w:rPr>
          <w:sz w:val="28"/>
          <w:szCs w:val="28"/>
        </w:rPr>
        <w:t>s</w:t>
      </w:r>
      <w:r w:rsidR="00624E5B">
        <w:rPr>
          <w:sz w:val="28"/>
          <w:szCs w:val="28"/>
        </w:rPr>
        <w:t xml:space="preserve"> in paragraph 11.</w:t>
      </w:r>
      <w:r w:rsidR="00E27A88">
        <w:rPr>
          <w:sz w:val="28"/>
          <w:szCs w:val="28"/>
        </w:rPr>
        <w:t xml:space="preserve">  </w:t>
      </w:r>
    </w:p>
    <w:p w:rsidR="00AD00A1" w:rsidRDefault="001820C4" w:rsidP="00AF0A5E">
      <w:pPr>
        <w:pStyle w:val="ListParagraph"/>
        <w:numPr>
          <w:ilvl w:val="0"/>
          <w:numId w:val="1"/>
        </w:numPr>
        <w:spacing w:after="240" w:line="480" w:lineRule="auto"/>
        <w:ind w:left="0" w:firstLine="720"/>
        <w:jc w:val="both"/>
        <w:rPr>
          <w:sz w:val="28"/>
          <w:szCs w:val="28"/>
        </w:rPr>
      </w:pPr>
      <w:r>
        <w:rPr>
          <w:sz w:val="28"/>
          <w:szCs w:val="28"/>
        </w:rPr>
        <w:t xml:space="preserve"> </w:t>
      </w:r>
      <w:r w:rsidR="000107B7">
        <w:rPr>
          <w:sz w:val="28"/>
          <w:szCs w:val="28"/>
        </w:rPr>
        <w:t>Admit</w:t>
      </w:r>
      <w:r w:rsidR="0075023B">
        <w:rPr>
          <w:sz w:val="28"/>
          <w:szCs w:val="28"/>
        </w:rPr>
        <w:t>s</w:t>
      </w:r>
      <w:r w:rsidR="000107B7">
        <w:rPr>
          <w:sz w:val="28"/>
          <w:szCs w:val="28"/>
        </w:rPr>
        <w:t xml:space="preserve"> the allegations in</w:t>
      </w:r>
      <w:r w:rsidR="00B83E1E">
        <w:rPr>
          <w:sz w:val="28"/>
          <w:szCs w:val="28"/>
        </w:rPr>
        <w:t xml:space="preserve"> the first sentence in</w:t>
      </w:r>
      <w:r w:rsidR="000107B7">
        <w:rPr>
          <w:sz w:val="28"/>
          <w:szCs w:val="28"/>
        </w:rPr>
        <w:t xml:space="preserve"> paragraph 12.</w:t>
      </w:r>
      <w:r w:rsidR="00B83E1E">
        <w:rPr>
          <w:sz w:val="28"/>
          <w:szCs w:val="28"/>
        </w:rPr>
        <w:t xml:space="preserve">  </w:t>
      </w:r>
      <w:r w:rsidR="00741DB5">
        <w:rPr>
          <w:sz w:val="28"/>
          <w:szCs w:val="28"/>
        </w:rPr>
        <w:t xml:space="preserve">Deny the allegations in the second sentence in paragraph 12.  </w:t>
      </w:r>
      <w:r w:rsidR="00130F6A">
        <w:rPr>
          <w:sz w:val="28"/>
          <w:szCs w:val="28"/>
        </w:rPr>
        <w:t>Admit</w:t>
      </w:r>
      <w:r w:rsidR="0075023B">
        <w:rPr>
          <w:sz w:val="28"/>
          <w:szCs w:val="28"/>
        </w:rPr>
        <w:t>s</w:t>
      </w:r>
      <w:r w:rsidR="00130F6A">
        <w:rPr>
          <w:sz w:val="28"/>
          <w:szCs w:val="28"/>
        </w:rPr>
        <w:t xml:space="preserve"> the allegations in the third sentence in paragraph 12.</w:t>
      </w:r>
    </w:p>
    <w:p w:rsidR="00AD00A1" w:rsidRDefault="00F22E33" w:rsidP="00AF0A5E">
      <w:pPr>
        <w:pStyle w:val="ListParagraph"/>
        <w:numPr>
          <w:ilvl w:val="0"/>
          <w:numId w:val="1"/>
        </w:numPr>
        <w:spacing w:after="240" w:line="480" w:lineRule="auto"/>
        <w:ind w:left="0" w:firstLine="720"/>
        <w:jc w:val="both"/>
        <w:rPr>
          <w:sz w:val="28"/>
          <w:szCs w:val="28"/>
        </w:rPr>
      </w:pPr>
      <w:r>
        <w:rPr>
          <w:sz w:val="28"/>
          <w:szCs w:val="28"/>
        </w:rPr>
        <w:t>Deny the allegations in paragraph 13.</w:t>
      </w:r>
    </w:p>
    <w:p w:rsidR="00120BF7" w:rsidRDefault="006416BF" w:rsidP="00AF0A5E">
      <w:pPr>
        <w:pStyle w:val="ListParagraph"/>
        <w:numPr>
          <w:ilvl w:val="0"/>
          <w:numId w:val="1"/>
        </w:numPr>
        <w:spacing w:after="240" w:line="480" w:lineRule="auto"/>
        <w:ind w:left="0" w:firstLine="720"/>
        <w:jc w:val="both"/>
        <w:rPr>
          <w:sz w:val="28"/>
          <w:szCs w:val="28"/>
        </w:rPr>
      </w:pPr>
      <w:r>
        <w:rPr>
          <w:sz w:val="28"/>
          <w:szCs w:val="28"/>
        </w:rPr>
        <w:lastRenderedPageBreak/>
        <w:t>Admit</w:t>
      </w:r>
      <w:r w:rsidR="0075023B">
        <w:rPr>
          <w:sz w:val="28"/>
          <w:szCs w:val="28"/>
        </w:rPr>
        <w:t>s</w:t>
      </w:r>
      <w:r>
        <w:rPr>
          <w:sz w:val="28"/>
          <w:szCs w:val="28"/>
        </w:rPr>
        <w:t xml:space="preserve"> the allegations in the first sentence </w:t>
      </w:r>
      <w:r w:rsidR="007D0FE6">
        <w:rPr>
          <w:sz w:val="28"/>
          <w:szCs w:val="28"/>
        </w:rPr>
        <w:t xml:space="preserve">in </w:t>
      </w:r>
      <w:r>
        <w:rPr>
          <w:sz w:val="28"/>
          <w:szCs w:val="28"/>
        </w:rPr>
        <w:t xml:space="preserve">paragraph 14.  </w:t>
      </w:r>
      <w:proofErr w:type="gramStart"/>
      <w:r>
        <w:rPr>
          <w:sz w:val="28"/>
          <w:szCs w:val="28"/>
        </w:rPr>
        <w:t xml:space="preserve">Upon information and belief, </w:t>
      </w:r>
      <w:r w:rsidR="00374084">
        <w:rPr>
          <w:sz w:val="28"/>
          <w:szCs w:val="28"/>
        </w:rPr>
        <w:t>admit</w:t>
      </w:r>
      <w:r w:rsidR="0075023B">
        <w:rPr>
          <w:sz w:val="28"/>
          <w:szCs w:val="28"/>
        </w:rPr>
        <w:t>s</w:t>
      </w:r>
      <w:r w:rsidR="00374084">
        <w:rPr>
          <w:sz w:val="28"/>
          <w:szCs w:val="28"/>
        </w:rPr>
        <w:t xml:space="preserve"> the allegations in the second sentence </w:t>
      </w:r>
      <w:r w:rsidR="007D0FE6">
        <w:rPr>
          <w:sz w:val="28"/>
          <w:szCs w:val="28"/>
        </w:rPr>
        <w:t xml:space="preserve">in paragraph 14, and further states </w:t>
      </w:r>
      <w:r w:rsidR="009677AA">
        <w:rPr>
          <w:sz w:val="28"/>
          <w:szCs w:val="28"/>
        </w:rPr>
        <w:t>that the introductory words “After NFA learned of this . . .” are misleading and leave a false impression in that the NFA</w:t>
      </w:r>
      <w:r w:rsidR="00D4702E">
        <w:rPr>
          <w:sz w:val="28"/>
          <w:szCs w:val="28"/>
        </w:rPr>
        <w:t xml:space="preserve"> knew in advance of the early 2013 capital infusion </w:t>
      </w:r>
      <w:r w:rsidR="000646F2">
        <w:rPr>
          <w:sz w:val="28"/>
          <w:szCs w:val="28"/>
        </w:rPr>
        <w:t xml:space="preserve">since </w:t>
      </w:r>
      <w:r w:rsidR="006C1109">
        <w:rPr>
          <w:sz w:val="28"/>
          <w:szCs w:val="28"/>
        </w:rPr>
        <w:t xml:space="preserve">the NFA </w:t>
      </w:r>
      <w:r w:rsidR="003E637A">
        <w:rPr>
          <w:sz w:val="28"/>
          <w:szCs w:val="28"/>
        </w:rPr>
        <w:t xml:space="preserve">verified the transfer of funds to ILQ </w:t>
      </w:r>
      <w:r w:rsidR="006C1109">
        <w:rPr>
          <w:sz w:val="28"/>
          <w:szCs w:val="28"/>
        </w:rPr>
        <w:t>referred to in the first sentence in paragraph 14.</w:t>
      </w:r>
      <w:proofErr w:type="gramEnd"/>
      <w:r w:rsidR="009677AA">
        <w:rPr>
          <w:sz w:val="28"/>
          <w:szCs w:val="28"/>
        </w:rPr>
        <w:t xml:space="preserve"> </w:t>
      </w:r>
    </w:p>
    <w:p w:rsidR="00AD00A1" w:rsidRPr="00E15F14" w:rsidRDefault="00374084" w:rsidP="00AF0A5E">
      <w:pPr>
        <w:pStyle w:val="ListParagraph"/>
        <w:numPr>
          <w:ilvl w:val="0"/>
          <w:numId w:val="1"/>
        </w:numPr>
        <w:spacing w:line="480" w:lineRule="auto"/>
        <w:ind w:left="0" w:firstLine="720"/>
        <w:jc w:val="both"/>
        <w:rPr>
          <w:sz w:val="28"/>
          <w:szCs w:val="28"/>
        </w:rPr>
      </w:pPr>
      <w:r w:rsidRPr="00E15F14">
        <w:rPr>
          <w:sz w:val="28"/>
          <w:szCs w:val="28"/>
        </w:rPr>
        <w:t>Deny the allegations in paragraph 15.</w:t>
      </w:r>
    </w:p>
    <w:p w:rsidR="00AD00A1" w:rsidRDefault="00120BF7" w:rsidP="00AF0A5E">
      <w:pPr>
        <w:spacing w:line="480" w:lineRule="auto"/>
        <w:contextualSpacing/>
        <w:jc w:val="both"/>
        <w:rPr>
          <w:b/>
          <w:sz w:val="28"/>
          <w:szCs w:val="28"/>
          <w:u w:val="single"/>
        </w:rPr>
      </w:pPr>
      <w:r w:rsidRPr="00120BF7">
        <w:rPr>
          <w:b/>
          <w:sz w:val="28"/>
          <w:szCs w:val="28"/>
          <w:u w:val="single"/>
        </w:rPr>
        <w:t>A</w:t>
      </w:r>
      <w:r w:rsidR="00234D62">
        <w:rPr>
          <w:b/>
          <w:sz w:val="28"/>
          <w:szCs w:val="28"/>
          <w:u w:val="single"/>
        </w:rPr>
        <w:t>pplicable Rules</w:t>
      </w:r>
    </w:p>
    <w:p w:rsidR="00120BF7" w:rsidRDefault="004B30CA" w:rsidP="00AF0A5E">
      <w:pPr>
        <w:pStyle w:val="ListParagraph"/>
        <w:numPr>
          <w:ilvl w:val="0"/>
          <w:numId w:val="1"/>
        </w:numPr>
        <w:spacing w:line="480" w:lineRule="auto"/>
        <w:ind w:left="0" w:firstLine="720"/>
        <w:jc w:val="both"/>
        <w:rPr>
          <w:sz w:val="28"/>
          <w:szCs w:val="28"/>
        </w:rPr>
      </w:pPr>
      <w:r>
        <w:rPr>
          <w:sz w:val="28"/>
          <w:szCs w:val="28"/>
        </w:rPr>
        <w:t>The statement in paragraph 16</w:t>
      </w:r>
      <w:r w:rsidR="00DA7607">
        <w:rPr>
          <w:sz w:val="28"/>
          <w:szCs w:val="28"/>
        </w:rPr>
        <w:t xml:space="preserve"> is not an allegation but a purported summary of NFA Compliance Rule 2-5, and no response thereto is required.</w:t>
      </w:r>
      <w:r w:rsidR="00F92825">
        <w:rPr>
          <w:sz w:val="28"/>
          <w:szCs w:val="28"/>
        </w:rPr>
        <w:t xml:space="preserve">  </w:t>
      </w:r>
      <w:r w:rsidR="005C1F26">
        <w:rPr>
          <w:sz w:val="28"/>
          <w:szCs w:val="28"/>
        </w:rPr>
        <w:t xml:space="preserve">ILQ </w:t>
      </w:r>
      <w:r w:rsidR="00A7691B">
        <w:rPr>
          <w:sz w:val="28"/>
          <w:szCs w:val="28"/>
        </w:rPr>
        <w:t xml:space="preserve">states that the Rule should be read, interpreted and enforced as a whole, including any referenced and all applicable constitutions, rules, regulations, customs and usages of the </w:t>
      </w:r>
      <w:r w:rsidR="005E64C6">
        <w:rPr>
          <w:sz w:val="28"/>
          <w:szCs w:val="28"/>
        </w:rPr>
        <w:t>f</w:t>
      </w:r>
      <w:r w:rsidR="00A7691B">
        <w:rPr>
          <w:sz w:val="28"/>
          <w:szCs w:val="28"/>
        </w:rPr>
        <w:t xml:space="preserve">utures </w:t>
      </w:r>
      <w:r w:rsidR="005C1F26">
        <w:rPr>
          <w:sz w:val="28"/>
          <w:szCs w:val="28"/>
        </w:rPr>
        <w:t xml:space="preserve">industry </w:t>
      </w:r>
      <w:r w:rsidR="000E7146">
        <w:rPr>
          <w:sz w:val="28"/>
          <w:szCs w:val="28"/>
        </w:rPr>
        <w:t>and all applicable law.</w:t>
      </w:r>
    </w:p>
    <w:p w:rsidR="00120BF7" w:rsidRDefault="00DA7607" w:rsidP="00AF0A5E">
      <w:pPr>
        <w:pStyle w:val="ListParagraph"/>
        <w:numPr>
          <w:ilvl w:val="0"/>
          <w:numId w:val="1"/>
        </w:numPr>
        <w:spacing w:line="480" w:lineRule="auto"/>
        <w:ind w:left="0" w:firstLine="720"/>
        <w:jc w:val="both"/>
        <w:rPr>
          <w:sz w:val="28"/>
          <w:szCs w:val="28"/>
        </w:rPr>
      </w:pPr>
      <w:r>
        <w:rPr>
          <w:sz w:val="28"/>
          <w:szCs w:val="28"/>
        </w:rPr>
        <w:t xml:space="preserve">The statement in paragraph </w:t>
      </w:r>
      <w:r w:rsidR="004B30CA">
        <w:rPr>
          <w:sz w:val="28"/>
          <w:szCs w:val="28"/>
        </w:rPr>
        <w:t>17</w:t>
      </w:r>
      <w:r>
        <w:rPr>
          <w:sz w:val="28"/>
          <w:szCs w:val="28"/>
        </w:rPr>
        <w:t xml:space="preserve"> is not an allegation but a purported summary of NFA Compliance Rule 2-</w:t>
      </w:r>
      <w:r w:rsidR="00B8013A">
        <w:rPr>
          <w:sz w:val="28"/>
          <w:szCs w:val="28"/>
        </w:rPr>
        <w:t>36(e)</w:t>
      </w:r>
      <w:r>
        <w:rPr>
          <w:sz w:val="28"/>
          <w:szCs w:val="28"/>
        </w:rPr>
        <w:t>, and no response thereto is required</w:t>
      </w:r>
      <w:r w:rsidR="005E64C6">
        <w:rPr>
          <w:sz w:val="28"/>
          <w:szCs w:val="28"/>
        </w:rPr>
        <w:t xml:space="preserve">.  </w:t>
      </w:r>
      <w:r w:rsidR="005C1F26">
        <w:rPr>
          <w:sz w:val="28"/>
          <w:szCs w:val="28"/>
        </w:rPr>
        <w:t xml:space="preserve">ILQ </w:t>
      </w:r>
      <w:r w:rsidR="005E64C6">
        <w:rPr>
          <w:sz w:val="28"/>
          <w:szCs w:val="28"/>
        </w:rPr>
        <w:t xml:space="preserve">states that the Rule </w:t>
      </w:r>
      <w:proofErr w:type="gramStart"/>
      <w:r w:rsidR="005E64C6">
        <w:rPr>
          <w:sz w:val="28"/>
          <w:szCs w:val="28"/>
        </w:rPr>
        <w:t xml:space="preserve">should be read, interpreted and enforced as a whole, including any referenced and all applicable constitutions, rules, regulations, customs and usages of the futures </w:t>
      </w:r>
      <w:r w:rsidR="00456216">
        <w:rPr>
          <w:sz w:val="28"/>
          <w:szCs w:val="28"/>
        </w:rPr>
        <w:t xml:space="preserve">industry </w:t>
      </w:r>
      <w:r w:rsidR="005E64C6">
        <w:rPr>
          <w:sz w:val="28"/>
          <w:szCs w:val="28"/>
        </w:rPr>
        <w:t>and all applicable law</w:t>
      </w:r>
      <w:proofErr w:type="gramEnd"/>
      <w:r w:rsidR="005E64C6">
        <w:rPr>
          <w:sz w:val="28"/>
          <w:szCs w:val="28"/>
        </w:rPr>
        <w:t>.</w:t>
      </w:r>
    </w:p>
    <w:p w:rsidR="00232DA4" w:rsidRDefault="00232DA4" w:rsidP="00232DA4">
      <w:pPr>
        <w:spacing w:line="480" w:lineRule="auto"/>
        <w:jc w:val="both"/>
        <w:rPr>
          <w:sz w:val="28"/>
          <w:szCs w:val="28"/>
        </w:rPr>
      </w:pPr>
    </w:p>
    <w:p w:rsidR="00232DA4" w:rsidRPr="00232DA4" w:rsidRDefault="00232DA4" w:rsidP="00232DA4">
      <w:pPr>
        <w:spacing w:line="480" w:lineRule="auto"/>
        <w:jc w:val="both"/>
        <w:rPr>
          <w:sz w:val="28"/>
          <w:szCs w:val="28"/>
        </w:rPr>
      </w:pPr>
    </w:p>
    <w:p w:rsidR="006A6847" w:rsidRPr="005216F7" w:rsidRDefault="00FF5183" w:rsidP="00AF0A5E">
      <w:pPr>
        <w:spacing w:after="240"/>
        <w:contextualSpacing/>
        <w:jc w:val="both"/>
        <w:rPr>
          <w:b/>
          <w:sz w:val="28"/>
          <w:szCs w:val="28"/>
          <w:u w:val="single"/>
        </w:rPr>
      </w:pPr>
      <w:r w:rsidRPr="00A567F8">
        <w:rPr>
          <w:b/>
          <w:sz w:val="28"/>
          <w:szCs w:val="28"/>
          <w:u w:val="single"/>
        </w:rPr>
        <w:lastRenderedPageBreak/>
        <w:t>C</w:t>
      </w:r>
      <w:r w:rsidR="00DA7607">
        <w:rPr>
          <w:b/>
          <w:sz w:val="28"/>
          <w:szCs w:val="28"/>
          <w:u w:val="single"/>
        </w:rPr>
        <w:t xml:space="preserve">ount </w:t>
      </w:r>
      <w:r w:rsidRPr="00A567F8">
        <w:rPr>
          <w:b/>
          <w:sz w:val="28"/>
          <w:szCs w:val="28"/>
          <w:u w:val="single"/>
        </w:rPr>
        <w:t>I</w:t>
      </w:r>
    </w:p>
    <w:p w:rsidR="0042786A" w:rsidRDefault="00456216" w:rsidP="00AF0A5E">
      <w:pPr>
        <w:pStyle w:val="ListParagraph"/>
        <w:numPr>
          <w:ilvl w:val="0"/>
          <w:numId w:val="1"/>
        </w:numPr>
        <w:spacing w:after="240" w:line="480" w:lineRule="auto"/>
        <w:ind w:left="0" w:firstLine="720"/>
        <w:jc w:val="both"/>
        <w:rPr>
          <w:sz w:val="28"/>
          <w:szCs w:val="28"/>
        </w:rPr>
      </w:pPr>
      <w:r>
        <w:rPr>
          <w:sz w:val="28"/>
          <w:szCs w:val="28"/>
        </w:rPr>
        <w:t xml:space="preserve">ILQ </w:t>
      </w:r>
      <w:r w:rsidR="00042302">
        <w:rPr>
          <w:sz w:val="28"/>
          <w:szCs w:val="28"/>
        </w:rPr>
        <w:t xml:space="preserve">reasserts the answers heretofore provided in paragraphs </w:t>
      </w:r>
      <w:r w:rsidR="00B8013A">
        <w:rPr>
          <w:sz w:val="28"/>
          <w:szCs w:val="28"/>
        </w:rPr>
        <w:t>1, 2 and 4-16</w:t>
      </w:r>
      <w:r w:rsidR="00042302">
        <w:rPr>
          <w:sz w:val="28"/>
          <w:szCs w:val="28"/>
        </w:rPr>
        <w:t>.</w:t>
      </w:r>
    </w:p>
    <w:p w:rsidR="008F71D3" w:rsidRDefault="00D21507" w:rsidP="00AF0A5E">
      <w:pPr>
        <w:pStyle w:val="ListParagraph"/>
        <w:numPr>
          <w:ilvl w:val="0"/>
          <w:numId w:val="1"/>
        </w:numPr>
        <w:spacing w:after="240" w:line="480" w:lineRule="auto"/>
        <w:ind w:left="0" w:firstLine="720"/>
        <w:jc w:val="both"/>
        <w:rPr>
          <w:sz w:val="28"/>
          <w:szCs w:val="28"/>
        </w:rPr>
      </w:pPr>
      <w:r>
        <w:rPr>
          <w:sz w:val="28"/>
          <w:szCs w:val="28"/>
        </w:rPr>
        <w:t>A</w:t>
      </w:r>
      <w:r w:rsidR="0043034C">
        <w:rPr>
          <w:sz w:val="28"/>
          <w:szCs w:val="28"/>
        </w:rPr>
        <w:t>dmits the allegations in paragraph 1</w:t>
      </w:r>
      <w:r w:rsidR="00E46196">
        <w:rPr>
          <w:sz w:val="28"/>
          <w:szCs w:val="28"/>
        </w:rPr>
        <w:t>9</w:t>
      </w:r>
      <w:r w:rsidR="0043034C">
        <w:rPr>
          <w:sz w:val="28"/>
          <w:szCs w:val="28"/>
        </w:rPr>
        <w:t>.</w:t>
      </w:r>
    </w:p>
    <w:p w:rsidR="00370C35" w:rsidRDefault="00456216" w:rsidP="00AF0A5E">
      <w:pPr>
        <w:pStyle w:val="ListParagraph"/>
        <w:numPr>
          <w:ilvl w:val="0"/>
          <w:numId w:val="1"/>
        </w:numPr>
        <w:spacing w:after="240" w:line="480" w:lineRule="auto"/>
        <w:ind w:left="0" w:firstLine="720"/>
        <w:jc w:val="both"/>
        <w:rPr>
          <w:sz w:val="28"/>
          <w:szCs w:val="28"/>
        </w:rPr>
      </w:pPr>
      <w:r>
        <w:rPr>
          <w:sz w:val="28"/>
          <w:szCs w:val="28"/>
        </w:rPr>
        <w:t xml:space="preserve">ILQ </w:t>
      </w:r>
      <w:r w:rsidR="001F6396">
        <w:rPr>
          <w:sz w:val="28"/>
          <w:szCs w:val="28"/>
        </w:rPr>
        <w:t xml:space="preserve">is without sufficient information to admit or deny the allegations in the first and second sentences in paragraph 20 in that it does not know what the NFA was “concerned about” or “noticed,” and therefore denies the allegations in those two sentences. </w:t>
      </w:r>
      <w:r w:rsidR="00370C35" w:rsidRPr="00370C35">
        <w:rPr>
          <w:b/>
          <w:sz w:val="28"/>
          <w:szCs w:val="28"/>
        </w:rPr>
        <w:t xml:space="preserve"> </w:t>
      </w:r>
      <w:r w:rsidR="00E14B96" w:rsidRPr="00E14B96">
        <w:rPr>
          <w:sz w:val="28"/>
          <w:szCs w:val="28"/>
        </w:rPr>
        <w:t>Admit</w:t>
      </w:r>
      <w:r>
        <w:rPr>
          <w:sz w:val="28"/>
          <w:szCs w:val="28"/>
        </w:rPr>
        <w:t xml:space="preserve">s </w:t>
      </w:r>
      <w:r w:rsidR="00E14B96">
        <w:rPr>
          <w:sz w:val="28"/>
          <w:szCs w:val="28"/>
        </w:rPr>
        <w:t xml:space="preserve">the </w:t>
      </w:r>
      <w:r>
        <w:rPr>
          <w:sz w:val="28"/>
          <w:szCs w:val="28"/>
        </w:rPr>
        <w:t xml:space="preserve">allegations in the </w:t>
      </w:r>
      <w:r w:rsidR="00E14B96">
        <w:rPr>
          <w:sz w:val="28"/>
          <w:szCs w:val="28"/>
        </w:rPr>
        <w:t xml:space="preserve">third </w:t>
      </w:r>
      <w:r w:rsidR="009B569B">
        <w:rPr>
          <w:sz w:val="28"/>
          <w:szCs w:val="28"/>
        </w:rPr>
        <w:t xml:space="preserve">and fourth </w:t>
      </w:r>
      <w:r w:rsidR="00E14B96">
        <w:rPr>
          <w:sz w:val="28"/>
          <w:szCs w:val="28"/>
        </w:rPr>
        <w:t>sentence</w:t>
      </w:r>
      <w:r w:rsidR="009B569B">
        <w:rPr>
          <w:sz w:val="28"/>
          <w:szCs w:val="28"/>
        </w:rPr>
        <w:t>s</w:t>
      </w:r>
      <w:r w:rsidR="00E14B96">
        <w:rPr>
          <w:sz w:val="28"/>
          <w:szCs w:val="28"/>
        </w:rPr>
        <w:t xml:space="preserve"> in paragraph 20</w:t>
      </w:r>
      <w:r w:rsidR="009B569B">
        <w:rPr>
          <w:sz w:val="28"/>
          <w:szCs w:val="28"/>
        </w:rPr>
        <w:t xml:space="preserve">, </w:t>
      </w:r>
      <w:r w:rsidR="00E14B96">
        <w:rPr>
          <w:sz w:val="28"/>
          <w:szCs w:val="28"/>
        </w:rPr>
        <w:t xml:space="preserve">and further states that </w:t>
      </w:r>
      <w:r w:rsidR="001A1D73">
        <w:rPr>
          <w:sz w:val="28"/>
          <w:szCs w:val="28"/>
        </w:rPr>
        <w:t>at the time ILQ had total assets of $44 million</w:t>
      </w:r>
      <w:r w:rsidR="000859C9">
        <w:rPr>
          <w:sz w:val="28"/>
          <w:szCs w:val="28"/>
        </w:rPr>
        <w:t xml:space="preserve"> and </w:t>
      </w:r>
      <w:r w:rsidR="001A1D73">
        <w:rPr>
          <w:sz w:val="28"/>
          <w:szCs w:val="28"/>
        </w:rPr>
        <w:t xml:space="preserve">net capital </w:t>
      </w:r>
      <w:r w:rsidR="00E14B96">
        <w:rPr>
          <w:sz w:val="28"/>
          <w:szCs w:val="28"/>
        </w:rPr>
        <w:t>in excess of $2</w:t>
      </w:r>
      <w:r w:rsidR="001A1D73">
        <w:rPr>
          <w:sz w:val="28"/>
          <w:szCs w:val="28"/>
        </w:rPr>
        <w:t>3</w:t>
      </w:r>
      <w:r w:rsidR="00E14B96">
        <w:rPr>
          <w:sz w:val="28"/>
          <w:szCs w:val="28"/>
        </w:rPr>
        <w:t xml:space="preserve"> million.  </w:t>
      </w:r>
      <w:r w:rsidR="00370C35" w:rsidRPr="00370C35">
        <w:rPr>
          <w:sz w:val="28"/>
          <w:szCs w:val="28"/>
        </w:rPr>
        <w:t>Admit</w:t>
      </w:r>
      <w:r>
        <w:rPr>
          <w:sz w:val="28"/>
          <w:szCs w:val="28"/>
        </w:rPr>
        <w:t>s</w:t>
      </w:r>
      <w:r w:rsidR="00370C35" w:rsidRPr="00370C35">
        <w:rPr>
          <w:sz w:val="28"/>
          <w:szCs w:val="28"/>
        </w:rPr>
        <w:t xml:space="preserve"> the allegations in the fifth sentence</w:t>
      </w:r>
      <w:r w:rsidR="00370C35">
        <w:rPr>
          <w:sz w:val="28"/>
          <w:szCs w:val="28"/>
        </w:rPr>
        <w:t xml:space="preserve"> in paragraph 20.</w:t>
      </w:r>
      <w:r w:rsidR="00B61FEE">
        <w:rPr>
          <w:sz w:val="28"/>
          <w:szCs w:val="28"/>
        </w:rPr>
        <w:t xml:space="preserve">  </w:t>
      </w:r>
    </w:p>
    <w:p w:rsidR="00120BF7" w:rsidRPr="00370C35" w:rsidRDefault="001822A5"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w:t>
      </w:r>
      <w:r w:rsidR="00F5440B">
        <w:rPr>
          <w:sz w:val="28"/>
          <w:szCs w:val="28"/>
        </w:rPr>
        <w:t xml:space="preserve">the first and third sentences </w:t>
      </w:r>
      <w:r w:rsidR="009A5042">
        <w:rPr>
          <w:sz w:val="28"/>
          <w:szCs w:val="28"/>
        </w:rPr>
        <w:t xml:space="preserve">in </w:t>
      </w:r>
      <w:r>
        <w:rPr>
          <w:sz w:val="28"/>
          <w:szCs w:val="28"/>
        </w:rPr>
        <w:t>paragraph 21, and further states that ILQ has not violated any NFA financial requirement and maintained adjusted net capital in excess of $2</w:t>
      </w:r>
      <w:r w:rsidR="00BB3F75">
        <w:rPr>
          <w:sz w:val="28"/>
          <w:szCs w:val="28"/>
        </w:rPr>
        <w:t>3</w:t>
      </w:r>
      <w:r>
        <w:rPr>
          <w:sz w:val="28"/>
          <w:szCs w:val="28"/>
        </w:rPr>
        <w:t xml:space="preserve"> million during the period in question.</w:t>
      </w:r>
      <w:r w:rsidR="00F5440B">
        <w:rPr>
          <w:sz w:val="28"/>
          <w:szCs w:val="28"/>
        </w:rPr>
        <w:t xml:space="preserve">  </w:t>
      </w:r>
      <w:r w:rsidR="00BB3F75">
        <w:rPr>
          <w:sz w:val="28"/>
          <w:szCs w:val="28"/>
        </w:rPr>
        <w:t>Total assets we</w:t>
      </w:r>
      <w:r w:rsidR="00860D10">
        <w:rPr>
          <w:sz w:val="28"/>
          <w:szCs w:val="28"/>
        </w:rPr>
        <w:t xml:space="preserve">re over $43.5 million. </w:t>
      </w:r>
      <w:r w:rsidR="006C5D9E">
        <w:rPr>
          <w:sz w:val="28"/>
          <w:szCs w:val="28"/>
        </w:rPr>
        <w:t xml:space="preserve">ILQ </w:t>
      </w:r>
      <w:r w:rsidR="00D640D6">
        <w:rPr>
          <w:sz w:val="28"/>
          <w:szCs w:val="28"/>
        </w:rPr>
        <w:t>is without sufficient information to admit or deny the allegations in the second sentence in paragraph 21 in that it does not know what</w:t>
      </w:r>
      <w:r w:rsidR="00A67C3D">
        <w:rPr>
          <w:sz w:val="28"/>
          <w:szCs w:val="28"/>
        </w:rPr>
        <w:t xml:space="preserve"> “concerned NFA,”</w:t>
      </w:r>
      <w:r w:rsidR="00D640D6">
        <w:rPr>
          <w:sz w:val="28"/>
          <w:szCs w:val="28"/>
        </w:rPr>
        <w:t xml:space="preserve"> and therefore denies the allegations in the </w:t>
      </w:r>
      <w:r w:rsidR="00A67C3D">
        <w:rPr>
          <w:sz w:val="28"/>
          <w:szCs w:val="28"/>
        </w:rPr>
        <w:t xml:space="preserve">second </w:t>
      </w:r>
      <w:r w:rsidR="00D640D6">
        <w:rPr>
          <w:sz w:val="28"/>
          <w:szCs w:val="28"/>
        </w:rPr>
        <w:t xml:space="preserve">sentence. </w:t>
      </w:r>
      <w:r w:rsidR="00D640D6" w:rsidRPr="00370C35">
        <w:rPr>
          <w:b/>
          <w:sz w:val="28"/>
          <w:szCs w:val="28"/>
        </w:rPr>
        <w:t xml:space="preserve"> </w:t>
      </w:r>
    </w:p>
    <w:p w:rsidR="00120BF7" w:rsidRDefault="002F0748" w:rsidP="00AF0A5E">
      <w:pPr>
        <w:pStyle w:val="ListParagraph"/>
        <w:numPr>
          <w:ilvl w:val="0"/>
          <w:numId w:val="1"/>
        </w:numPr>
        <w:spacing w:after="240" w:line="480" w:lineRule="auto"/>
        <w:ind w:left="0" w:firstLine="720"/>
        <w:jc w:val="both"/>
        <w:rPr>
          <w:sz w:val="28"/>
          <w:szCs w:val="28"/>
        </w:rPr>
      </w:pPr>
      <w:r>
        <w:rPr>
          <w:sz w:val="28"/>
          <w:szCs w:val="28"/>
        </w:rPr>
        <w:lastRenderedPageBreak/>
        <w:t xml:space="preserve">Admits the allegations in paragraph 22, and further states that the term “financial partner” </w:t>
      </w:r>
      <w:r w:rsidR="00A65024">
        <w:rPr>
          <w:sz w:val="28"/>
          <w:szCs w:val="28"/>
        </w:rPr>
        <w:t xml:space="preserve">has been </w:t>
      </w:r>
      <w:r>
        <w:rPr>
          <w:sz w:val="28"/>
          <w:szCs w:val="28"/>
        </w:rPr>
        <w:t xml:space="preserve">used to refer to </w:t>
      </w:r>
      <w:r w:rsidR="00232DA4">
        <w:rPr>
          <w:sz w:val="28"/>
          <w:szCs w:val="28"/>
        </w:rPr>
        <w:t xml:space="preserve">HA or HMcP </w:t>
      </w:r>
      <w:r>
        <w:rPr>
          <w:sz w:val="28"/>
          <w:szCs w:val="28"/>
        </w:rPr>
        <w:t xml:space="preserve">and </w:t>
      </w:r>
      <w:r w:rsidR="00A65024">
        <w:rPr>
          <w:sz w:val="28"/>
          <w:szCs w:val="28"/>
        </w:rPr>
        <w:t xml:space="preserve">the </w:t>
      </w:r>
      <w:r>
        <w:rPr>
          <w:sz w:val="28"/>
          <w:szCs w:val="28"/>
        </w:rPr>
        <w:t>past and ongoing commitment to ILQ.</w:t>
      </w:r>
    </w:p>
    <w:p w:rsidR="00120BF7" w:rsidRDefault="00BE67BB" w:rsidP="00AF0A5E">
      <w:pPr>
        <w:pStyle w:val="ListParagraph"/>
        <w:numPr>
          <w:ilvl w:val="0"/>
          <w:numId w:val="1"/>
        </w:numPr>
        <w:spacing w:after="240" w:line="480" w:lineRule="auto"/>
        <w:ind w:left="0" w:firstLine="720"/>
        <w:jc w:val="both"/>
        <w:rPr>
          <w:sz w:val="28"/>
          <w:szCs w:val="28"/>
        </w:rPr>
      </w:pPr>
      <w:r>
        <w:rPr>
          <w:sz w:val="28"/>
          <w:szCs w:val="28"/>
        </w:rPr>
        <w:t xml:space="preserve">Admits </w:t>
      </w:r>
      <w:r w:rsidR="00A672BD">
        <w:rPr>
          <w:sz w:val="28"/>
          <w:szCs w:val="28"/>
        </w:rPr>
        <w:t xml:space="preserve">the allegations in paragraph 23. </w:t>
      </w:r>
    </w:p>
    <w:p w:rsidR="00120BF7" w:rsidRPr="00776810" w:rsidRDefault="006C5D9E" w:rsidP="00AF0A5E">
      <w:pPr>
        <w:pStyle w:val="ListParagraph"/>
        <w:numPr>
          <w:ilvl w:val="0"/>
          <w:numId w:val="1"/>
        </w:numPr>
        <w:spacing w:after="240" w:line="480" w:lineRule="auto"/>
        <w:ind w:left="0" w:firstLine="720"/>
        <w:jc w:val="both"/>
        <w:rPr>
          <w:sz w:val="28"/>
          <w:szCs w:val="28"/>
        </w:rPr>
      </w:pPr>
      <w:r>
        <w:rPr>
          <w:sz w:val="28"/>
          <w:szCs w:val="28"/>
        </w:rPr>
        <w:t xml:space="preserve">ILQ </w:t>
      </w:r>
      <w:r w:rsidR="00845E07">
        <w:rPr>
          <w:sz w:val="28"/>
          <w:szCs w:val="28"/>
        </w:rPr>
        <w:t>is without sufficient information to admit or deny the allegations in paragraph 2</w:t>
      </w:r>
      <w:r w:rsidR="008F40FA">
        <w:rPr>
          <w:sz w:val="28"/>
          <w:szCs w:val="28"/>
        </w:rPr>
        <w:t>4</w:t>
      </w:r>
      <w:r w:rsidR="00845E07">
        <w:rPr>
          <w:sz w:val="28"/>
          <w:szCs w:val="28"/>
        </w:rPr>
        <w:t xml:space="preserve"> in that it does not know </w:t>
      </w:r>
      <w:r w:rsidR="008F40FA">
        <w:rPr>
          <w:sz w:val="28"/>
          <w:szCs w:val="28"/>
        </w:rPr>
        <w:t>why (“Because”)</w:t>
      </w:r>
      <w:r w:rsidR="00850241">
        <w:rPr>
          <w:sz w:val="28"/>
          <w:szCs w:val="28"/>
        </w:rPr>
        <w:t xml:space="preserve"> the </w:t>
      </w:r>
      <w:r w:rsidR="004A3A1E">
        <w:rPr>
          <w:sz w:val="28"/>
          <w:szCs w:val="28"/>
        </w:rPr>
        <w:t>NFA commenced</w:t>
      </w:r>
      <w:r w:rsidR="00850241">
        <w:rPr>
          <w:sz w:val="28"/>
          <w:szCs w:val="28"/>
        </w:rPr>
        <w:t xml:space="preserve"> its investigation as used in the first sentence, what the “NFA also wanted to determine” as used in the second sentence, and what the “NFA wanted to check” as used in the third sentence, </w:t>
      </w:r>
      <w:r w:rsidR="008F40FA">
        <w:rPr>
          <w:sz w:val="28"/>
          <w:szCs w:val="28"/>
        </w:rPr>
        <w:t xml:space="preserve">and </w:t>
      </w:r>
      <w:r w:rsidR="00845E07">
        <w:rPr>
          <w:sz w:val="28"/>
          <w:szCs w:val="28"/>
        </w:rPr>
        <w:t xml:space="preserve">therefore denies the allegations in </w:t>
      </w:r>
      <w:r w:rsidR="00850241">
        <w:rPr>
          <w:sz w:val="28"/>
          <w:szCs w:val="28"/>
        </w:rPr>
        <w:t xml:space="preserve">paragraph 24.  </w:t>
      </w:r>
      <w:r>
        <w:rPr>
          <w:sz w:val="28"/>
          <w:szCs w:val="28"/>
        </w:rPr>
        <w:t xml:space="preserve">ILQ </w:t>
      </w:r>
      <w:r w:rsidR="00776810">
        <w:rPr>
          <w:sz w:val="28"/>
          <w:szCs w:val="28"/>
        </w:rPr>
        <w:t>further sta</w:t>
      </w:r>
      <w:r w:rsidR="0002463D">
        <w:rPr>
          <w:sz w:val="28"/>
          <w:szCs w:val="28"/>
        </w:rPr>
        <w:t>tes</w:t>
      </w:r>
      <w:r w:rsidR="00776810">
        <w:rPr>
          <w:sz w:val="28"/>
          <w:szCs w:val="28"/>
        </w:rPr>
        <w:t xml:space="preserve"> that </w:t>
      </w:r>
      <w:r w:rsidR="007A0258">
        <w:rPr>
          <w:sz w:val="28"/>
          <w:szCs w:val="28"/>
        </w:rPr>
        <w:t xml:space="preserve">(a) </w:t>
      </w:r>
      <w:r w:rsidR="00776810">
        <w:rPr>
          <w:sz w:val="28"/>
          <w:szCs w:val="28"/>
        </w:rPr>
        <w:t xml:space="preserve">the reference to Trevor Cook and the Martinez family in the third sentence </w:t>
      </w:r>
      <w:r w:rsidR="009A5042">
        <w:rPr>
          <w:sz w:val="28"/>
          <w:szCs w:val="28"/>
        </w:rPr>
        <w:t xml:space="preserve">in </w:t>
      </w:r>
      <w:r w:rsidR="00776810">
        <w:rPr>
          <w:sz w:val="28"/>
          <w:szCs w:val="28"/>
        </w:rPr>
        <w:t xml:space="preserve">paragraph 24 is </w:t>
      </w:r>
      <w:r w:rsidR="0002463D">
        <w:rPr>
          <w:sz w:val="28"/>
          <w:szCs w:val="28"/>
        </w:rPr>
        <w:t>superfluous to the alleg</w:t>
      </w:r>
      <w:r>
        <w:rPr>
          <w:sz w:val="28"/>
          <w:szCs w:val="28"/>
        </w:rPr>
        <w:t xml:space="preserve">ed violations </w:t>
      </w:r>
      <w:r w:rsidR="007A0258">
        <w:rPr>
          <w:sz w:val="28"/>
          <w:szCs w:val="28"/>
        </w:rPr>
        <w:t xml:space="preserve">and (b) no one could reasonably conclude based on any fact, suspicion or otherwise that </w:t>
      </w:r>
      <w:r w:rsidR="00C02757">
        <w:rPr>
          <w:sz w:val="28"/>
          <w:szCs w:val="28"/>
        </w:rPr>
        <w:t xml:space="preserve">HA or HMcP </w:t>
      </w:r>
      <w:r w:rsidR="007A0258">
        <w:rPr>
          <w:sz w:val="28"/>
          <w:szCs w:val="28"/>
        </w:rPr>
        <w:t>had any “relationships” with Trevor Cook</w:t>
      </w:r>
      <w:r w:rsidR="00EA6237">
        <w:rPr>
          <w:sz w:val="28"/>
          <w:szCs w:val="28"/>
        </w:rPr>
        <w:t xml:space="preserve"> or the Martinez family</w:t>
      </w:r>
      <w:r w:rsidR="0002463D">
        <w:rPr>
          <w:sz w:val="28"/>
          <w:szCs w:val="28"/>
        </w:rPr>
        <w:t xml:space="preserve">.  </w:t>
      </w:r>
    </w:p>
    <w:p w:rsidR="00120BF7" w:rsidRDefault="003A4A6E" w:rsidP="00AF0A5E">
      <w:pPr>
        <w:pStyle w:val="ListParagraph"/>
        <w:numPr>
          <w:ilvl w:val="0"/>
          <w:numId w:val="1"/>
        </w:numPr>
        <w:spacing w:after="240" w:line="480" w:lineRule="auto"/>
        <w:ind w:left="0" w:firstLine="720"/>
        <w:jc w:val="both"/>
        <w:rPr>
          <w:sz w:val="28"/>
          <w:szCs w:val="28"/>
        </w:rPr>
      </w:pPr>
      <w:r>
        <w:rPr>
          <w:sz w:val="28"/>
          <w:szCs w:val="28"/>
        </w:rPr>
        <w:t>Admit</w:t>
      </w:r>
      <w:r w:rsidR="00DA3788">
        <w:rPr>
          <w:sz w:val="28"/>
          <w:szCs w:val="28"/>
        </w:rPr>
        <w:t>s</w:t>
      </w:r>
      <w:r>
        <w:rPr>
          <w:sz w:val="28"/>
          <w:szCs w:val="28"/>
        </w:rPr>
        <w:t xml:space="preserve"> the allegations in the first sentence </w:t>
      </w:r>
      <w:r w:rsidR="00E518DA">
        <w:rPr>
          <w:sz w:val="28"/>
          <w:szCs w:val="28"/>
        </w:rPr>
        <w:t xml:space="preserve">in </w:t>
      </w:r>
      <w:r>
        <w:rPr>
          <w:sz w:val="28"/>
          <w:szCs w:val="28"/>
        </w:rPr>
        <w:t>paragraph 25</w:t>
      </w:r>
      <w:r w:rsidR="00DA3788">
        <w:rPr>
          <w:sz w:val="28"/>
          <w:szCs w:val="28"/>
        </w:rPr>
        <w:t>,</w:t>
      </w:r>
      <w:r>
        <w:rPr>
          <w:sz w:val="28"/>
          <w:szCs w:val="28"/>
        </w:rPr>
        <w:t xml:space="preserve"> and further states that the letter </w:t>
      </w:r>
      <w:r w:rsidR="003D4BA9">
        <w:rPr>
          <w:sz w:val="28"/>
          <w:szCs w:val="28"/>
        </w:rPr>
        <w:t xml:space="preserve">should be read, interpreted and enforced as a whole.  </w:t>
      </w:r>
      <w:r w:rsidR="008557B0">
        <w:rPr>
          <w:sz w:val="28"/>
          <w:szCs w:val="28"/>
        </w:rPr>
        <w:t xml:space="preserve">Deny the allegations in the second sentence </w:t>
      </w:r>
      <w:r w:rsidR="00E518DA">
        <w:rPr>
          <w:sz w:val="28"/>
          <w:szCs w:val="28"/>
        </w:rPr>
        <w:t xml:space="preserve">in </w:t>
      </w:r>
      <w:r w:rsidR="008557B0">
        <w:rPr>
          <w:sz w:val="28"/>
          <w:szCs w:val="28"/>
        </w:rPr>
        <w:t>paragraph 2</w:t>
      </w:r>
      <w:r w:rsidR="000112E1">
        <w:rPr>
          <w:sz w:val="28"/>
          <w:szCs w:val="28"/>
        </w:rPr>
        <w:t>5</w:t>
      </w:r>
      <w:r w:rsidR="008557B0">
        <w:rPr>
          <w:sz w:val="28"/>
          <w:szCs w:val="28"/>
        </w:rPr>
        <w:t xml:space="preserve"> in that it implies bad faith on the part of ILQ and is not a full recitation of the events that took place in connection with the 2011 examination.</w:t>
      </w:r>
      <w:r w:rsidR="001F4BAE">
        <w:rPr>
          <w:sz w:val="28"/>
          <w:szCs w:val="28"/>
        </w:rPr>
        <w:t xml:space="preserve">  </w:t>
      </w:r>
      <w:r w:rsidR="00063302">
        <w:rPr>
          <w:sz w:val="28"/>
          <w:szCs w:val="28"/>
        </w:rPr>
        <w:t xml:space="preserve">Admit the allegations in the third sentence in paragraph 25, and further states that these were the only documents requested by </w:t>
      </w:r>
      <w:r w:rsidR="00063302">
        <w:rPr>
          <w:sz w:val="28"/>
          <w:szCs w:val="28"/>
        </w:rPr>
        <w:lastRenderedPageBreak/>
        <w:t>the NFA as to which Krier and others at ILQ had possession, custody or control</w:t>
      </w:r>
      <w:r w:rsidR="003207BB">
        <w:rPr>
          <w:sz w:val="28"/>
          <w:szCs w:val="28"/>
        </w:rPr>
        <w:t xml:space="preserve"> or the ability to produce to the NFA.</w:t>
      </w:r>
      <w:r w:rsidR="00803724">
        <w:rPr>
          <w:sz w:val="28"/>
          <w:szCs w:val="28"/>
        </w:rPr>
        <w:t xml:space="preserve">  </w:t>
      </w:r>
    </w:p>
    <w:p w:rsidR="00120BF7" w:rsidRDefault="00F13EB1" w:rsidP="00AF0A5E">
      <w:pPr>
        <w:pStyle w:val="ListParagraph"/>
        <w:numPr>
          <w:ilvl w:val="0"/>
          <w:numId w:val="1"/>
        </w:numPr>
        <w:spacing w:after="240" w:line="480" w:lineRule="auto"/>
        <w:ind w:left="0" w:firstLine="720"/>
        <w:jc w:val="both"/>
        <w:rPr>
          <w:sz w:val="28"/>
          <w:szCs w:val="28"/>
        </w:rPr>
      </w:pPr>
      <w:proofErr w:type="gramStart"/>
      <w:r>
        <w:rPr>
          <w:sz w:val="28"/>
          <w:szCs w:val="28"/>
        </w:rPr>
        <w:t>Admit</w:t>
      </w:r>
      <w:r w:rsidR="00DA3788">
        <w:rPr>
          <w:sz w:val="28"/>
          <w:szCs w:val="28"/>
        </w:rPr>
        <w:t>s</w:t>
      </w:r>
      <w:r>
        <w:rPr>
          <w:sz w:val="28"/>
          <w:szCs w:val="28"/>
        </w:rPr>
        <w:t xml:space="preserve"> the allegations in the first sentence </w:t>
      </w:r>
      <w:r w:rsidR="00E518DA">
        <w:rPr>
          <w:sz w:val="28"/>
          <w:szCs w:val="28"/>
        </w:rPr>
        <w:t xml:space="preserve">in </w:t>
      </w:r>
      <w:r>
        <w:rPr>
          <w:sz w:val="28"/>
          <w:szCs w:val="28"/>
        </w:rPr>
        <w:t>paragraph 26, and further states that by such allegation</w:t>
      </w:r>
      <w:r w:rsidR="00743BE2">
        <w:rPr>
          <w:sz w:val="28"/>
          <w:szCs w:val="28"/>
        </w:rPr>
        <w:t>s</w:t>
      </w:r>
      <w:r>
        <w:rPr>
          <w:sz w:val="28"/>
          <w:szCs w:val="28"/>
        </w:rPr>
        <w:t xml:space="preserve"> the NFA admits that it was in discussions and negotiations with </w:t>
      </w:r>
      <w:proofErr w:type="spellStart"/>
      <w:r>
        <w:rPr>
          <w:sz w:val="28"/>
          <w:szCs w:val="28"/>
        </w:rPr>
        <w:t>Mawdsley</w:t>
      </w:r>
      <w:proofErr w:type="spellEnd"/>
      <w:r>
        <w:rPr>
          <w:sz w:val="28"/>
          <w:szCs w:val="28"/>
        </w:rPr>
        <w:t xml:space="preserve">, </w:t>
      </w:r>
      <w:r w:rsidR="009E13F5">
        <w:rPr>
          <w:sz w:val="28"/>
          <w:szCs w:val="28"/>
        </w:rPr>
        <w:t xml:space="preserve">as a senior executive for HMcP, </w:t>
      </w:r>
      <w:r w:rsidR="00872A18">
        <w:rPr>
          <w:sz w:val="28"/>
          <w:szCs w:val="28"/>
        </w:rPr>
        <w:t xml:space="preserve">and this fact underscores that it was </w:t>
      </w:r>
      <w:r w:rsidR="009E13F5">
        <w:rPr>
          <w:sz w:val="28"/>
          <w:szCs w:val="28"/>
        </w:rPr>
        <w:t xml:space="preserve">HMcP, </w:t>
      </w:r>
      <w:r w:rsidR="00872A18">
        <w:rPr>
          <w:sz w:val="28"/>
          <w:szCs w:val="28"/>
        </w:rPr>
        <w:t xml:space="preserve">and not the respondents, who had possession, custody and control of the </w:t>
      </w:r>
      <w:r w:rsidR="009E13F5">
        <w:rPr>
          <w:sz w:val="28"/>
          <w:szCs w:val="28"/>
        </w:rPr>
        <w:t xml:space="preserve">HMcP </w:t>
      </w:r>
      <w:r w:rsidR="00872A18">
        <w:rPr>
          <w:sz w:val="28"/>
          <w:szCs w:val="28"/>
        </w:rPr>
        <w:t>documents for production to the NFA.</w:t>
      </w:r>
      <w:proofErr w:type="gramEnd"/>
      <w:r w:rsidR="00872A18">
        <w:rPr>
          <w:sz w:val="28"/>
          <w:szCs w:val="28"/>
        </w:rPr>
        <w:t xml:space="preserve"> </w:t>
      </w:r>
      <w:r w:rsidR="00DA3788">
        <w:rPr>
          <w:sz w:val="28"/>
          <w:szCs w:val="28"/>
        </w:rPr>
        <w:t xml:space="preserve">ILQ </w:t>
      </w:r>
      <w:r w:rsidR="00872A18">
        <w:rPr>
          <w:sz w:val="28"/>
          <w:szCs w:val="28"/>
        </w:rPr>
        <w:t xml:space="preserve">is without sufficient information to admit or deny the allegations in the second sentence in paragraph 26 in that it does not know what “In reviewing the bank statements, NFA found,” and therefore denies the allegations in the second sentence. </w:t>
      </w:r>
      <w:r w:rsidR="00872A18" w:rsidRPr="00370C35">
        <w:rPr>
          <w:b/>
          <w:sz w:val="28"/>
          <w:szCs w:val="28"/>
        </w:rPr>
        <w:t xml:space="preserve"> </w:t>
      </w:r>
    </w:p>
    <w:p w:rsidR="00120BF7" w:rsidRDefault="00C5458C" w:rsidP="00AF0A5E">
      <w:pPr>
        <w:pStyle w:val="ListParagraph"/>
        <w:numPr>
          <w:ilvl w:val="0"/>
          <w:numId w:val="1"/>
        </w:numPr>
        <w:spacing w:after="240" w:line="480" w:lineRule="auto"/>
        <w:ind w:left="0" w:firstLine="720"/>
        <w:jc w:val="both"/>
        <w:rPr>
          <w:sz w:val="28"/>
          <w:szCs w:val="28"/>
        </w:rPr>
      </w:pPr>
      <w:r>
        <w:rPr>
          <w:sz w:val="28"/>
          <w:szCs w:val="28"/>
        </w:rPr>
        <w:t>Admits the allegations in paragraph 27.</w:t>
      </w:r>
    </w:p>
    <w:p w:rsidR="00120BF7" w:rsidRDefault="00C5458C" w:rsidP="00AF0A5E">
      <w:pPr>
        <w:pStyle w:val="ListParagraph"/>
        <w:numPr>
          <w:ilvl w:val="0"/>
          <w:numId w:val="1"/>
        </w:numPr>
        <w:spacing w:after="240" w:line="480" w:lineRule="auto"/>
        <w:ind w:left="0" w:firstLine="720"/>
        <w:jc w:val="both"/>
        <w:rPr>
          <w:sz w:val="28"/>
          <w:szCs w:val="28"/>
        </w:rPr>
      </w:pPr>
      <w:r>
        <w:rPr>
          <w:sz w:val="28"/>
          <w:szCs w:val="28"/>
        </w:rPr>
        <w:t>Admits the allegations in paragraph 28.</w:t>
      </w:r>
    </w:p>
    <w:p w:rsidR="00120BF7" w:rsidRDefault="00241CF2"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29, and further states that the NFA has </w:t>
      </w:r>
      <w:r w:rsidR="00D70AF2">
        <w:rPr>
          <w:sz w:val="28"/>
          <w:szCs w:val="28"/>
        </w:rPr>
        <w:t>om</w:t>
      </w:r>
      <w:r>
        <w:rPr>
          <w:sz w:val="28"/>
          <w:szCs w:val="28"/>
        </w:rPr>
        <w:t>itted important facts</w:t>
      </w:r>
      <w:r w:rsidR="00743BE2">
        <w:rPr>
          <w:sz w:val="28"/>
          <w:szCs w:val="28"/>
        </w:rPr>
        <w:t xml:space="preserve"> and </w:t>
      </w:r>
      <w:r>
        <w:rPr>
          <w:sz w:val="28"/>
          <w:szCs w:val="28"/>
        </w:rPr>
        <w:t xml:space="preserve">events prior to April 16, 2013 when </w:t>
      </w:r>
      <w:r w:rsidR="005E6454">
        <w:rPr>
          <w:sz w:val="28"/>
          <w:szCs w:val="28"/>
        </w:rPr>
        <w:t>an NFA staff member, Valerie O’Malley, informed Krier that she would pro</w:t>
      </w:r>
      <w:r w:rsidR="00D70AF2">
        <w:rPr>
          <w:sz w:val="28"/>
          <w:szCs w:val="28"/>
        </w:rPr>
        <w:t xml:space="preserve">vide to ILQ </w:t>
      </w:r>
      <w:r w:rsidR="005E6454">
        <w:rPr>
          <w:sz w:val="28"/>
          <w:szCs w:val="28"/>
        </w:rPr>
        <w:t xml:space="preserve">a written explanation on April 5, 2013 more clearly explaining details of the </w:t>
      </w:r>
      <w:r w:rsidR="00D70AF2">
        <w:rPr>
          <w:sz w:val="28"/>
          <w:szCs w:val="28"/>
        </w:rPr>
        <w:t xml:space="preserve">NFA’s </w:t>
      </w:r>
      <w:r w:rsidR="005E6454">
        <w:rPr>
          <w:sz w:val="28"/>
          <w:szCs w:val="28"/>
        </w:rPr>
        <w:t>document requests of March 18, 2013.</w:t>
      </w:r>
      <w:r w:rsidR="007F4FC8">
        <w:rPr>
          <w:sz w:val="28"/>
          <w:szCs w:val="28"/>
        </w:rPr>
        <w:t xml:space="preserve">  Such written explanation “more clearly explaining details” was never provided to ILQ.</w:t>
      </w:r>
      <w:r w:rsidR="004A2767">
        <w:rPr>
          <w:sz w:val="28"/>
          <w:szCs w:val="28"/>
        </w:rPr>
        <w:t xml:space="preserve">  ILQ further states that in the NFA’s April 16, 2013 letter, </w:t>
      </w:r>
      <w:r w:rsidR="00723025">
        <w:rPr>
          <w:sz w:val="28"/>
          <w:szCs w:val="28"/>
        </w:rPr>
        <w:t xml:space="preserve">its recital of requests that had been made on March </w:t>
      </w:r>
      <w:r w:rsidR="00723025">
        <w:rPr>
          <w:sz w:val="28"/>
          <w:szCs w:val="28"/>
        </w:rPr>
        <w:lastRenderedPageBreak/>
        <w:t xml:space="preserve">18, 2013 was inaccurate.  </w:t>
      </w:r>
      <w:r w:rsidR="00DE65F8">
        <w:rPr>
          <w:sz w:val="28"/>
          <w:szCs w:val="28"/>
        </w:rPr>
        <w:t xml:space="preserve">The NFA randomly changed its requests of </w:t>
      </w:r>
      <w:r w:rsidR="009E13F5">
        <w:rPr>
          <w:sz w:val="28"/>
          <w:szCs w:val="28"/>
        </w:rPr>
        <w:t xml:space="preserve">HA/HMcP.  </w:t>
      </w:r>
      <w:r w:rsidR="00F05FF4">
        <w:rPr>
          <w:sz w:val="28"/>
          <w:szCs w:val="28"/>
        </w:rPr>
        <w:t>ILQ further states that the referred to April 16, 2013 letter should be read, interpreted and enforced as a whole</w:t>
      </w:r>
      <w:r w:rsidR="00CF4727">
        <w:rPr>
          <w:sz w:val="28"/>
          <w:szCs w:val="28"/>
        </w:rPr>
        <w:t>.</w:t>
      </w:r>
    </w:p>
    <w:p w:rsidR="00120BF7" w:rsidRDefault="00CF4727"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in paragraph 30, and further states that </w:t>
      </w:r>
      <w:r w:rsidR="00F909CC">
        <w:rPr>
          <w:sz w:val="28"/>
          <w:szCs w:val="28"/>
        </w:rPr>
        <w:t xml:space="preserve">the referred to discussions addressed much more than what is alleged and included discussions with regard to the scope </w:t>
      </w:r>
      <w:r w:rsidR="0024658F">
        <w:rPr>
          <w:sz w:val="28"/>
          <w:szCs w:val="28"/>
        </w:rPr>
        <w:t>of the requested documents.</w:t>
      </w:r>
      <w:r w:rsidR="009B20FC">
        <w:rPr>
          <w:sz w:val="28"/>
          <w:szCs w:val="28"/>
        </w:rPr>
        <w:t xml:space="preserve">  ILQ further states that the allegations in the first sentence constitute an admission by </w:t>
      </w:r>
      <w:r w:rsidR="00840013">
        <w:rPr>
          <w:sz w:val="28"/>
          <w:szCs w:val="28"/>
        </w:rPr>
        <w:t xml:space="preserve">NFA </w:t>
      </w:r>
      <w:r w:rsidR="009B20FC">
        <w:rPr>
          <w:sz w:val="28"/>
          <w:szCs w:val="28"/>
        </w:rPr>
        <w:t xml:space="preserve">of its negotiations with </w:t>
      </w:r>
      <w:proofErr w:type="spellStart"/>
      <w:r w:rsidR="009B20FC">
        <w:rPr>
          <w:sz w:val="28"/>
          <w:szCs w:val="28"/>
        </w:rPr>
        <w:t>Mawdsley</w:t>
      </w:r>
      <w:proofErr w:type="spellEnd"/>
      <w:r w:rsidR="007B4CBC">
        <w:rPr>
          <w:sz w:val="28"/>
          <w:szCs w:val="28"/>
        </w:rPr>
        <w:t xml:space="preserve">, as a senior executive of HMcP.  </w:t>
      </w:r>
      <w:r w:rsidR="00840013">
        <w:rPr>
          <w:sz w:val="28"/>
          <w:szCs w:val="28"/>
        </w:rPr>
        <w:t>Deny the alle</w:t>
      </w:r>
      <w:r w:rsidR="009A5042">
        <w:rPr>
          <w:sz w:val="28"/>
          <w:szCs w:val="28"/>
        </w:rPr>
        <w:t>gations in the second sentence in</w:t>
      </w:r>
      <w:r w:rsidR="00840013">
        <w:rPr>
          <w:sz w:val="28"/>
          <w:szCs w:val="28"/>
        </w:rPr>
        <w:t xml:space="preserve"> paragraph 30, and further state (a) that ILQ and its employees were unable to comply with </w:t>
      </w:r>
      <w:r w:rsidR="005E474D">
        <w:rPr>
          <w:sz w:val="28"/>
          <w:szCs w:val="28"/>
        </w:rPr>
        <w:t xml:space="preserve">certain </w:t>
      </w:r>
      <w:r w:rsidR="00840013">
        <w:rPr>
          <w:sz w:val="28"/>
          <w:szCs w:val="28"/>
        </w:rPr>
        <w:t xml:space="preserve">NFA requests in that they did not have possession, custody and control of the </w:t>
      </w:r>
      <w:r w:rsidR="00B11309">
        <w:rPr>
          <w:sz w:val="28"/>
          <w:szCs w:val="28"/>
        </w:rPr>
        <w:t xml:space="preserve">HMcP </w:t>
      </w:r>
      <w:r w:rsidR="00840013">
        <w:rPr>
          <w:sz w:val="28"/>
          <w:szCs w:val="28"/>
        </w:rPr>
        <w:t xml:space="preserve">documents and (b) the NFA took up negotiations with Mawdsley with regard to the requested production of the </w:t>
      </w:r>
      <w:r w:rsidR="00B11309">
        <w:rPr>
          <w:sz w:val="28"/>
          <w:szCs w:val="28"/>
        </w:rPr>
        <w:t>H</w:t>
      </w:r>
      <w:r w:rsidR="00840013">
        <w:rPr>
          <w:sz w:val="28"/>
          <w:szCs w:val="28"/>
        </w:rPr>
        <w:t>McP</w:t>
      </w:r>
      <w:r w:rsidR="00B11309">
        <w:rPr>
          <w:sz w:val="28"/>
          <w:szCs w:val="28"/>
        </w:rPr>
        <w:t xml:space="preserve"> </w:t>
      </w:r>
      <w:r w:rsidR="00840013">
        <w:rPr>
          <w:sz w:val="28"/>
          <w:szCs w:val="28"/>
        </w:rPr>
        <w:t>documents.</w:t>
      </w:r>
      <w:r w:rsidR="00EE0C87">
        <w:rPr>
          <w:sz w:val="28"/>
          <w:szCs w:val="28"/>
        </w:rPr>
        <w:t xml:space="preserve">  ILQ further states that, in fact, </w:t>
      </w:r>
      <w:r w:rsidR="00DE1FA2">
        <w:rPr>
          <w:sz w:val="28"/>
          <w:szCs w:val="28"/>
        </w:rPr>
        <w:t>there were modifications to and changes by the NFA with respect to their April 16, 2013</w:t>
      </w:r>
      <w:r w:rsidR="00EE0C87">
        <w:rPr>
          <w:sz w:val="28"/>
          <w:szCs w:val="28"/>
        </w:rPr>
        <w:t xml:space="preserve"> </w:t>
      </w:r>
      <w:r w:rsidR="00C2153C">
        <w:rPr>
          <w:sz w:val="28"/>
          <w:szCs w:val="28"/>
        </w:rPr>
        <w:t xml:space="preserve">requests </w:t>
      </w:r>
      <w:r w:rsidR="00DE1FA2">
        <w:rPr>
          <w:sz w:val="28"/>
          <w:szCs w:val="28"/>
        </w:rPr>
        <w:t xml:space="preserve">of </w:t>
      </w:r>
      <w:r w:rsidR="00B11309">
        <w:rPr>
          <w:sz w:val="28"/>
          <w:szCs w:val="28"/>
        </w:rPr>
        <w:t xml:space="preserve">HMcP.  </w:t>
      </w:r>
      <w:r w:rsidR="00A3615B">
        <w:rPr>
          <w:sz w:val="28"/>
          <w:szCs w:val="28"/>
        </w:rPr>
        <w:t>Deny</w:t>
      </w:r>
      <w:r w:rsidR="00CE5EDB">
        <w:rPr>
          <w:sz w:val="28"/>
          <w:szCs w:val="28"/>
        </w:rPr>
        <w:t xml:space="preserve"> the allegations in the third and fourth sentences </w:t>
      </w:r>
      <w:r w:rsidR="009A5042">
        <w:rPr>
          <w:sz w:val="28"/>
          <w:szCs w:val="28"/>
        </w:rPr>
        <w:t xml:space="preserve">in </w:t>
      </w:r>
      <w:r w:rsidR="00CE5EDB">
        <w:rPr>
          <w:sz w:val="28"/>
          <w:szCs w:val="28"/>
        </w:rPr>
        <w:t>paragraph 30 and further state</w:t>
      </w:r>
      <w:r w:rsidR="00A3615B">
        <w:rPr>
          <w:sz w:val="28"/>
          <w:szCs w:val="28"/>
        </w:rPr>
        <w:t>s</w:t>
      </w:r>
      <w:r w:rsidR="00CE5EDB">
        <w:rPr>
          <w:sz w:val="28"/>
          <w:szCs w:val="28"/>
        </w:rPr>
        <w:t xml:space="preserve"> that the </w:t>
      </w:r>
      <w:r w:rsidR="00A3615B">
        <w:rPr>
          <w:sz w:val="28"/>
          <w:szCs w:val="28"/>
        </w:rPr>
        <w:t xml:space="preserve">references to the Krier letter </w:t>
      </w:r>
      <w:r w:rsidR="00DF5BAE">
        <w:rPr>
          <w:sz w:val="28"/>
          <w:szCs w:val="28"/>
        </w:rPr>
        <w:t xml:space="preserve">include </w:t>
      </w:r>
      <w:r w:rsidR="00A3615B">
        <w:rPr>
          <w:sz w:val="28"/>
          <w:szCs w:val="28"/>
        </w:rPr>
        <w:t>mischaracterization</w:t>
      </w:r>
      <w:r w:rsidR="00DF5BAE">
        <w:rPr>
          <w:sz w:val="28"/>
          <w:szCs w:val="28"/>
        </w:rPr>
        <w:t>s</w:t>
      </w:r>
      <w:r w:rsidR="00A3615B">
        <w:rPr>
          <w:sz w:val="28"/>
          <w:szCs w:val="28"/>
        </w:rPr>
        <w:t xml:space="preserve"> and </w:t>
      </w:r>
      <w:r w:rsidR="00DF5BAE">
        <w:rPr>
          <w:sz w:val="28"/>
          <w:szCs w:val="28"/>
        </w:rPr>
        <w:t xml:space="preserve">the </w:t>
      </w:r>
      <w:r w:rsidR="00CE5EDB">
        <w:rPr>
          <w:sz w:val="28"/>
          <w:szCs w:val="28"/>
        </w:rPr>
        <w:t xml:space="preserve">letter </w:t>
      </w:r>
      <w:proofErr w:type="gramStart"/>
      <w:r w:rsidR="00CE5EDB">
        <w:rPr>
          <w:sz w:val="28"/>
          <w:szCs w:val="28"/>
        </w:rPr>
        <w:t>should be read, interpreted and enforced as a whole</w:t>
      </w:r>
      <w:proofErr w:type="gramEnd"/>
      <w:r w:rsidR="00CE5EDB">
        <w:rPr>
          <w:sz w:val="28"/>
          <w:szCs w:val="28"/>
        </w:rPr>
        <w:t>.</w:t>
      </w:r>
    </w:p>
    <w:p w:rsidR="00856B82" w:rsidRDefault="00224265" w:rsidP="00AF0A5E">
      <w:pPr>
        <w:pStyle w:val="ListParagraph"/>
        <w:numPr>
          <w:ilvl w:val="0"/>
          <w:numId w:val="1"/>
        </w:numPr>
        <w:spacing w:after="240" w:line="480" w:lineRule="auto"/>
        <w:ind w:left="0" w:firstLine="720"/>
        <w:jc w:val="both"/>
        <w:rPr>
          <w:sz w:val="28"/>
          <w:szCs w:val="28"/>
        </w:rPr>
      </w:pPr>
      <w:r>
        <w:rPr>
          <w:sz w:val="28"/>
          <w:szCs w:val="28"/>
        </w:rPr>
        <w:t xml:space="preserve">Admits </w:t>
      </w:r>
      <w:r w:rsidR="00B13E19">
        <w:rPr>
          <w:sz w:val="28"/>
          <w:szCs w:val="28"/>
        </w:rPr>
        <w:t xml:space="preserve">the allegations in the first sentence </w:t>
      </w:r>
      <w:r w:rsidR="00E518DA">
        <w:rPr>
          <w:sz w:val="28"/>
          <w:szCs w:val="28"/>
        </w:rPr>
        <w:t xml:space="preserve">in </w:t>
      </w:r>
      <w:r w:rsidR="00B13E19">
        <w:rPr>
          <w:sz w:val="28"/>
          <w:szCs w:val="28"/>
        </w:rPr>
        <w:t>paragraph 31</w:t>
      </w:r>
      <w:r w:rsidR="00DF71D2">
        <w:rPr>
          <w:sz w:val="28"/>
          <w:szCs w:val="28"/>
        </w:rPr>
        <w:t xml:space="preserve">, and further states that Krier </w:t>
      </w:r>
      <w:r w:rsidR="00F31B05">
        <w:rPr>
          <w:sz w:val="28"/>
          <w:szCs w:val="28"/>
        </w:rPr>
        <w:t xml:space="preserve">was actively engaged in cooperation with the NFA to </w:t>
      </w:r>
      <w:r w:rsidR="00F31B05">
        <w:rPr>
          <w:sz w:val="28"/>
          <w:szCs w:val="28"/>
        </w:rPr>
        <w:lastRenderedPageBreak/>
        <w:t>facilitate the production of the documents it requested</w:t>
      </w:r>
      <w:r w:rsidR="00B13E19">
        <w:rPr>
          <w:sz w:val="28"/>
          <w:szCs w:val="28"/>
        </w:rPr>
        <w:t>.</w:t>
      </w:r>
      <w:r w:rsidR="007D13EF">
        <w:rPr>
          <w:sz w:val="28"/>
          <w:szCs w:val="28"/>
        </w:rPr>
        <w:t xml:space="preserve">  </w:t>
      </w:r>
      <w:r w:rsidR="0037344E">
        <w:rPr>
          <w:sz w:val="28"/>
          <w:szCs w:val="28"/>
        </w:rPr>
        <w:t xml:space="preserve">In an April 22, </w:t>
      </w:r>
      <w:r w:rsidR="00856B82">
        <w:rPr>
          <w:sz w:val="28"/>
          <w:szCs w:val="28"/>
        </w:rPr>
        <w:t xml:space="preserve">2013 </w:t>
      </w:r>
      <w:r w:rsidR="0037344E">
        <w:rPr>
          <w:sz w:val="28"/>
          <w:szCs w:val="28"/>
        </w:rPr>
        <w:t>email to Rachel Branderburg of the NFA and three others at the NFA</w:t>
      </w:r>
      <w:r w:rsidR="00856B82">
        <w:rPr>
          <w:sz w:val="28"/>
          <w:szCs w:val="28"/>
        </w:rPr>
        <w:t>, Krier stated</w:t>
      </w:r>
      <w:r w:rsidR="006A5B97">
        <w:rPr>
          <w:sz w:val="28"/>
          <w:szCs w:val="28"/>
        </w:rPr>
        <w:t>:</w:t>
      </w:r>
      <w:r w:rsidR="00856B82">
        <w:rPr>
          <w:sz w:val="28"/>
          <w:szCs w:val="28"/>
        </w:rPr>
        <w:t xml:space="preserve"> </w:t>
      </w:r>
    </w:p>
    <w:p w:rsidR="00856B82" w:rsidRDefault="00547FD4" w:rsidP="00AF0A5E">
      <w:pPr>
        <w:pStyle w:val="ListParagraph"/>
        <w:ind w:right="720"/>
        <w:jc w:val="both"/>
        <w:rPr>
          <w:sz w:val="28"/>
          <w:szCs w:val="28"/>
        </w:rPr>
      </w:pPr>
      <w:r>
        <w:rPr>
          <w:sz w:val="28"/>
          <w:szCs w:val="28"/>
        </w:rPr>
        <w:t>“. . . I</w:t>
      </w:r>
      <w:r w:rsidR="00856B82" w:rsidRPr="00856B82">
        <w:rPr>
          <w:sz w:val="28"/>
          <w:szCs w:val="28"/>
        </w:rPr>
        <w:t xml:space="preserve"> do want to make it clear th</w:t>
      </w:r>
      <w:r w:rsidR="003B635D">
        <w:rPr>
          <w:sz w:val="28"/>
          <w:szCs w:val="28"/>
        </w:rPr>
        <w:t>e</w:t>
      </w:r>
      <w:r w:rsidR="00856B82" w:rsidRPr="00856B82">
        <w:rPr>
          <w:sz w:val="28"/>
          <w:szCs w:val="28"/>
        </w:rPr>
        <w:t xml:space="preserve"> </w:t>
      </w:r>
      <w:r w:rsidR="003B635D">
        <w:rPr>
          <w:sz w:val="28"/>
          <w:szCs w:val="28"/>
        </w:rPr>
        <w:t xml:space="preserve">(sic) </w:t>
      </w:r>
      <w:r w:rsidR="00856B82" w:rsidRPr="00856B82">
        <w:rPr>
          <w:sz w:val="28"/>
          <w:szCs w:val="28"/>
        </w:rPr>
        <w:t>we fully intend on assisting the NFA in any way possible to achieve their desired level of verification</w:t>
      </w:r>
      <w:r w:rsidR="003B635D">
        <w:rPr>
          <w:sz w:val="28"/>
          <w:szCs w:val="28"/>
        </w:rPr>
        <w:t xml:space="preserve">.  </w:t>
      </w:r>
      <w:r w:rsidR="00856B82" w:rsidRPr="00856B82">
        <w:rPr>
          <w:sz w:val="28"/>
          <w:szCs w:val="28"/>
        </w:rPr>
        <w:t>We will do whatever we can to work with the NFA and Mr.</w:t>
      </w:r>
      <w:r w:rsidR="00B11309">
        <w:rPr>
          <w:sz w:val="28"/>
          <w:szCs w:val="28"/>
        </w:rPr>
        <w:t xml:space="preserve">  . . . (HMcP) </w:t>
      </w:r>
      <w:r w:rsidR="00856B82" w:rsidRPr="00856B82">
        <w:rPr>
          <w:sz w:val="28"/>
          <w:szCs w:val="28"/>
        </w:rPr>
        <w:t xml:space="preserve">so that adequate verification </w:t>
      </w:r>
      <w:proofErr w:type="gramStart"/>
      <w:r w:rsidR="00856B82" w:rsidRPr="00856B82">
        <w:rPr>
          <w:sz w:val="28"/>
          <w:szCs w:val="28"/>
        </w:rPr>
        <w:t>can be achieved</w:t>
      </w:r>
      <w:proofErr w:type="gramEnd"/>
      <w:r w:rsidR="003B635D">
        <w:rPr>
          <w:sz w:val="28"/>
          <w:szCs w:val="28"/>
        </w:rPr>
        <w:t xml:space="preserve"> </w:t>
      </w:r>
      <w:r>
        <w:rPr>
          <w:sz w:val="28"/>
          <w:szCs w:val="28"/>
        </w:rPr>
        <w:t xml:space="preserve">. . . </w:t>
      </w:r>
      <w:r w:rsidR="00856B82" w:rsidRPr="00856B82">
        <w:rPr>
          <w:sz w:val="28"/>
          <w:szCs w:val="28"/>
        </w:rPr>
        <w:t>We will be communicating and working with Mr.</w:t>
      </w:r>
      <w:r w:rsidR="00B11309">
        <w:rPr>
          <w:sz w:val="28"/>
          <w:szCs w:val="28"/>
        </w:rPr>
        <w:t xml:space="preserve">  . . . (HMcP) </w:t>
      </w:r>
      <w:r w:rsidR="00856B82" w:rsidRPr="00856B82">
        <w:rPr>
          <w:sz w:val="28"/>
          <w:szCs w:val="28"/>
        </w:rPr>
        <w:t>and his representatives when he returns from vacation to further discuss the NFA’s requests</w:t>
      </w:r>
      <w:r>
        <w:rPr>
          <w:sz w:val="28"/>
          <w:szCs w:val="28"/>
        </w:rPr>
        <w:t xml:space="preserve">. . . . </w:t>
      </w:r>
      <w:r w:rsidR="00856B82" w:rsidRPr="00856B82">
        <w:rPr>
          <w:sz w:val="28"/>
          <w:szCs w:val="28"/>
        </w:rPr>
        <w:t xml:space="preserve">”  </w:t>
      </w:r>
    </w:p>
    <w:p w:rsidR="00856B82" w:rsidRDefault="00856B82" w:rsidP="00AF0A5E">
      <w:pPr>
        <w:pStyle w:val="ListParagraph"/>
        <w:jc w:val="both"/>
        <w:rPr>
          <w:sz w:val="28"/>
          <w:szCs w:val="28"/>
        </w:rPr>
      </w:pPr>
    </w:p>
    <w:p w:rsidR="00120BF7" w:rsidRPr="00856B82" w:rsidRDefault="007D13EF" w:rsidP="00AF0A5E">
      <w:pPr>
        <w:spacing w:line="480" w:lineRule="auto"/>
        <w:contextualSpacing/>
        <w:jc w:val="both"/>
        <w:rPr>
          <w:sz w:val="28"/>
          <w:szCs w:val="28"/>
        </w:rPr>
      </w:pPr>
      <w:r w:rsidRPr="00856B82">
        <w:rPr>
          <w:sz w:val="28"/>
          <w:szCs w:val="28"/>
        </w:rPr>
        <w:t xml:space="preserve">Admits the allegations in the second </w:t>
      </w:r>
      <w:r w:rsidR="00536A7C" w:rsidRPr="00856B82">
        <w:rPr>
          <w:sz w:val="28"/>
          <w:szCs w:val="28"/>
        </w:rPr>
        <w:t xml:space="preserve">and third </w:t>
      </w:r>
      <w:r w:rsidRPr="00856B82">
        <w:rPr>
          <w:sz w:val="28"/>
          <w:szCs w:val="28"/>
        </w:rPr>
        <w:t>sentence</w:t>
      </w:r>
      <w:r w:rsidR="00536A7C" w:rsidRPr="00856B82">
        <w:rPr>
          <w:sz w:val="28"/>
          <w:szCs w:val="28"/>
        </w:rPr>
        <w:t>s</w:t>
      </w:r>
      <w:r w:rsidRPr="00856B82">
        <w:rPr>
          <w:sz w:val="28"/>
          <w:szCs w:val="28"/>
        </w:rPr>
        <w:t xml:space="preserve"> </w:t>
      </w:r>
      <w:r w:rsidR="00E518DA">
        <w:rPr>
          <w:sz w:val="28"/>
          <w:szCs w:val="28"/>
        </w:rPr>
        <w:t xml:space="preserve">in </w:t>
      </w:r>
      <w:r w:rsidRPr="00856B82">
        <w:rPr>
          <w:sz w:val="28"/>
          <w:szCs w:val="28"/>
        </w:rPr>
        <w:t>paragraph 31, and further states that, in fact, the NFA did “alter its stance” and had “further discussions” with regard to the scope of the production of Security Management bank statements.</w:t>
      </w:r>
      <w:r w:rsidR="00536A7C" w:rsidRPr="00856B82">
        <w:rPr>
          <w:sz w:val="28"/>
          <w:szCs w:val="28"/>
        </w:rPr>
        <w:t xml:space="preserve">  </w:t>
      </w:r>
    </w:p>
    <w:p w:rsidR="00120BF7" w:rsidRDefault="000347C0" w:rsidP="00AF0A5E">
      <w:pPr>
        <w:pStyle w:val="ListParagraph"/>
        <w:numPr>
          <w:ilvl w:val="0"/>
          <w:numId w:val="1"/>
        </w:numPr>
        <w:spacing w:line="480" w:lineRule="auto"/>
        <w:ind w:left="0" w:firstLine="720"/>
        <w:jc w:val="both"/>
        <w:rPr>
          <w:sz w:val="28"/>
          <w:szCs w:val="28"/>
        </w:rPr>
      </w:pPr>
      <w:r>
        <w:rPr>
          <w:sz w:val="28"/>
          <w:szCs w:val="28"/>
        </w:rPr>
        <w:t>Admits the allegations in paragraph 32, and further states that by reason of the production referred to in paragraph 32 ILQ had provided all documents requested by the NFA in its March 18, 2013 letter.</w:t>
      </w:r>
      <w:r w:rsidR="0022062F">
        <w:rPr>
          <w:sz w:val="28"/>
          <w:szCs w:val="28"/>
        </w:rPr>
        <w:t xml:space="preserve">  Such production </w:t>
      </w:r>
      <w:r w:rsidR="0022062F" w:rsidRPr="00B11309">
        <w:rPr>
          <w:b/>
          <w:sz w:val="28"/>
          <w:szCs w:val="28"/>
        </w:rPr>
        <w:t>by</w:t>
      </w:r>
      <w:r w:rsidR="0022062F">
        <w:rPr>
          <w:sz w:val="28"/>
          <w:szCs w:val="28"/>
        </w:rPr>
        <w:t xml:space="preserve"> </w:t>
      </w:r>
      <w:r w:rsidR="00B11309">
        <w:rPr>
          <w:sz w:val="28"/>
          <w:szCs w:val="28"/>
        </w:rPr>
        <w:t>H</w:t>
      </w:r>
      <w:r w:rsidR="0022062F">
        <w:rPr>
          <w:sz w:val="28"/>
          <w:szCs w:val="28"/>
        </w:rPr>
        <w:t>McP</w:t>
      </w:r>
      <w:r w:rsidR="00B11309">
        <w:rPr>
          <w:sz w:val="28"/>
          <w:szCs w:val="28"/>
        </w:rPr>
        <w:t xml:space="preserve"> </w:t>
      </w:r>
      <w:r w:rsidR="0022062F">
        <w:rPr>
          <w:sz w:val="28"/>
          <w:szCs w:val="28"/>
        </w:rPr>
        <w:t xml:space="preserve">was consistent with the suggestion of Hirst during a telephone conversation </w:t>
      </w:r>
      <w:r w:rsidR="00C513EC">
        <w:rPr>
          <w:sz w:val="28"/>
          <w:szCs w:val="28"/>
        </w:rPr>
        <w:t xml:space="preserve">between Hirst and </w:t>
      </w:r>
      <w:r w:rsidR="0022062F">
        <w:rPr>
          <w:sz w:val="28"/>
          <w:szCs w:val="28"/>
        </w:rPr>
        <w:t xml:space="preserve">Tanner on </w:t>
      </w:r>
      <w:r w:rsidR="005566A2">
        <w:rPr>
          <w:sz w:val="28"/>
          <w:szCs w:val="28"/>
        </w:rPr>
        <w:t>April 25, 2013.</w:t>
      </w:r>
    </w:p>
    <w:p w:rsidR="00120BF7" w:rsidRDefault="004C661F" w:rsidP="00AF0A5E">
      <w:pPr>
        <w:pStyle w:val="ListParagraph"/>
        <w:numPr>
          <w:ilvl w:val="0"/>
          <w:numId w:val="1"/>
        </w:numPr>
        <w:spacing w:after="240" w:line="480" w:lineRule="auto"/>
        <w:ind w:left="0" w:firstLine="720"/>
        <w:jc w:val="both"/>
        <w:rPr>
          <w:sz w:val="28"/>
          <w:szCs w:val="28"/>
        </w:rPr>
      </w:pPr>
      <w:r>
        <w:rPr>
          <w:sz w:val="28"/>
          <w:szCs w:val="28"/>
        </w:rPr>
        <w:t xml:space="preserve">ILQ </w:t>
      </w:r>
      <w:r w:rsidR="007D24EA">
        <w:rPr>
          <w:sz w:val="28"/>
          <w:szCs w:val="28"/>
        </w:rPr>
        <w:t xml:space="preserve">is without sufficient information to admit or deny the allegations in the first </w:t>
      </w:r>
      <w:r w:rsidR="009862B7">
        <w:rPr>
          <w:sz w:val="28"/>
          <w:szCs w:val="28"/>
        </w:rPr>
        <w:t xml:space="preserve">and second </w:t>
      </w:r>
      <w:r w:rsidR="007D24EA">
        <w:rPr>
          <w:sz w:val="28"/>
          <w:szCs w:val="28"/>
        </w:rPr>
        <w:t>sentence</w:t>
      </w:r>
      <w:r w:rsidR="009862B7">
        <w:rPr>
          <w:sz w:val="28"/>
          <w:szCs w:val="28"/>
        </w:rPr>
        <w:t>s</w:t>
      </w:r>
      <w:r w:rsidR="007D24EA">
        <w:rPr>
          <w:sz w:val="28"/>
          <w:szCs w:val="28"/>
        </w:rPr>
        <w:t xml:space="preserve"> in paragraph 33 in that it does not know what the “NFA noted” and </w:t>
      </w:r>
      <w:r w:rsidR="009862B7">
        <w:rPr>
          <w:sz w:val="28"/>
          <w:szCs w:val="28"/>
        </w:rPr>
        <w:t xml:space="preserve">what the “NFA also found,” and </w:t>
      </w:r>
      <w:r w:rsidR="007D24EA">
        <w:rPr>
          <w:sz w:val="28"/>
          <w:szCs w:val="28"/>
        </w:rPr>
        <w:t xml:space="preserve">therefore denies the allegations in the first sentence. </w:t>
      </w:r>
      <w:r w:rsidR="007D24EA" w:rsidRPr="00370C35">
        <w:rPr>
          <w:b/>
          <w:sz w:val="28"/>
          <w:szCs w:val="28"/>
        </w:rPr>
        <w:t xml:space="preserve"> </w:t>
      </w:r>
      <w:r w:rsidR="00F751FF" w:rsidRPr="00F751FF">
        <w:rPr>
          <w:sz w:val="28"/>
          <w:szCs w:val="28"/>
        </w:rPr>
        <w:t>ILQ</w:t>
      </w:r>
      <w:r w:rsidR="00F751FF">
        <w:rPr>
          <w:sz w:val="28"/>
          <w:szCs w:val="28"/>
        </w:rPr>
        <w:t xml:space="preserve"> further states that the Foreign Bank’s letters included relevant financial information as to </w:t>
      </w:r>
      <w:r w:rsidR="00471F18">
        <w:rPr>
          <w:sz w:val="28"/>
          <w:szCs w:val="28"/>
        </w:rPr>
        <w:t>H</w:t>
      </w:r>
      <w:r w:rsidR="00F751FF">
        <w:rPr>
          <w:sz w:val="28"/>
          <w:szCs w:val="28"/>
        </w:rPr>
        <w:t>McP.</w:t>
      </w:r>
    </w:p>
    <w:p w:rsidR="00120BF7" w:rsidRDefault="00AA3EFD" w:rsidP="00AF0A5E">
      <w:pPr>
        <w:pStyle w:val="ListParagraph"/>
        <w:numPr>
          <w:ilvl w:val="0"/>
          <w:numId w:val="1"/>
        </w:numPr>
        <w:spacing w:after="240" w:line="480" w:lineRule="auto"/>
        <w:ind w:left="0" w:firstLine="720"/>
        <w:jc w:val="both"/>
        <w:rPr>
          <w:sz w:val="28"/>
          <w:szCs w:val="28"/>
        </w:rPr>
      </w:pPr>
      <w:proofErr w:type="gramStart"/>
      <w:r>
        <w:rPr>
          <w:sz w:val="28"/>
          <w:szCs w:val="28"/>
        </w:rPr>
        <w:lastRenderedPageBreak/>
        <w:t>Admit</w:t>
      </w:r>
      <w:r w:rsidR="004C661F">
        <w:rPr>
          <w:sz w:val="28"/>
          <w:szCs w:val="28"/>
        </w:rPr>
        <w:t>s</w:t>
      </w:r>
      <w:r>
        <w:rPr>
          <w:sz w:val="28"/>
          <w:szCs w:val="28"/>
        </w:rPr>
        <w:t xml:space="preserve"> the allegations in paragraph 34, and further state</w:t>
      </w:r>
      <w:r w:rsidR="008C2236">
        <w:rPr>
          <w:sz w:val="28"/>
          <w:szCs w:val="28"/>
        </w:rPr>
        <w:t>s</w:t>
      </w:r>
      <w:r>
        <w:rPr>
          <w:sz w:val="28"/>
          <w:szCs w:val="28"/>
        </w:rPr>
        <w:t xml:space="preserve"> that thereby the NFA admits that it engaged in direct negotiations with Mawdsley with respect to the </w:t>
      </w:r>
      <w:r w:rsidR="00471F18">
        <w:rPr>
          <w:sz w:val="28"/>
          <w:szCs w:val="28"/>
        </w:rPr>
        <w:t xml:space="preserve">HMcP </w:t>
      </w:r>
      <w:r>
        <w:rPr>
          <w:sz w:val="28"/>
          <w:szCs w:val="28"/>
        </w:rPr>
        <w:t>financial information.</w:t>
      </w:r>
      <w:proofErr w:type="gramEnd"/>
    </w:p>
    <w:p w:rsidR="00120BF7" w:rsidRDefault="008C2236" w:rsidP="00AF0A5E">
      <w:pPr>
        <w:pStyle w:val="ListParagraph"/>
        <w:numPr>
          <w:ilvl w:val="0"/>
          <w:numId w:val="1"/>
        </w:numPr>
        <w:spacing w:after="240" w:line="480" w:lineRule="auto"/>
        <w:ind w:left="0" w:firstLine="720"/>
        <w:jc w:val="both"/>
        <w:rPr>
          <w:sz w:val="28"/>
          <w:szCs w:val="28"/>
        </w:rPr>
      </w:pPr>
      <w:proofErr w:type="gramStart"/>
      <w:r>
        <w:rPr>
          <w:sz w:val="28"/>
          <w:szCs w:val="28"/>
        </w:rPr>
        <w:t xml:space="preserve">Admits the allegations in paragraph 35, and further states that thereby the NFA admits that it </w:t>
      </w:r>
      <w:r w:rsidR="00996B17">
        <w:rPr>
          <w:sz w:val="28"/>
          <w:szCs w:val="28"/>
        </w:rPr>
        <w:t xml:space="preserve">again </w:t>
      </w:r>
      <w:r>
        <w:rPr>
          <w:sz w:val="28"/>
          <w:szCs w:val="28"/>
        </w:rPr>
        <w:t>modified certain of its prior request</w:t>
      </w:r>
      <w:r w:rsidR="00C94720">
        <w:rPr>
          <w:sz w:val="28"/>
          <w:szCs w:val="28"/>
        </w:rPr>
        <w:t>s</w:t>
      </w:r>
      <w:r>
        <w:rPr>
          <w:sz w:val="28"/>
          <w:szCs w:val="28"/>
        </w:rPr>
        <w:t xml:space="preserve"> for documents and engaged in ongoing negotiations with Mawdsley.</w:t>
      </w:r>
      <w:proofErr w:type="gramEnd"/>
      <w:r w:rsidR="00A31B94">
        <w:rPr>
          <w:sz w:val="28"/>
          <w:szCs w:val="28"/>
        </w:rPr>
        <w:t xml:space="preserve">  ILQ further states that during such conversations, there </w:t>
      </w:r>
      <w:r w:rsidR="00C94720">
        <w:rPr>
          <w:sz w:val="28"/>
          <w:szCs w:val="28"/>
        </w:rPr>
        <w:t xml:space="preserve">were </w:t>
      </w:r>
      <w:r w:rsidR="00A31B94">
        <w:rPr>
          <w:sz w:val="28"/>
          <w:szCs w:val="28"/>
        </w:rPr>
        <w:t xml:space="preserve">discussions of whether the requested financial information would include both “incoming” and “outgoing” funds into the account.  </w:t>
      </w:r>
      <w:proofErr w:type="gramStart"/>
      <w:r w:rsidR="00A31B94">
        <w:rPr>
          <w:sz w:val="28"/>
          <w:szCs w:val="28"/>
        </w:rPr>
        <w:t xml:space="preserve">Mawdsley was willing to </w:t>
      </w:r>
      <w:r w:rsidR="00471F18">
        <w:rPr>
          <w:sz w:val="28"/>
          <w:szCs w:val="28"/>
        </w:rPr>
        <w:t xml:space="preserve">recommend to HMcP that he </w:t>
      </w:r>
      <w:r w:rsidR="00A31B94">
        <w:rPr>
          <w:sz w:val="28"/>
          <w:szCs w:val="28"/>
        </w:rPr>
        <w:t xml:space="preserve">produce statements showing funds “incoming” into the account in order to address the NFA’s concerns that there might be undisclosed principals by reason of </w:t>
      </w:r>
      <w:r w:rsidR="00471F18">
        <w:rPr>
          <w:sz w:val="28"/>
          <w:szCs w:val="28"/>
        </w:rPr>
        <w:t>H</w:t>
      </w:r>
      <w:r w:rsidR="00A31B94">
        <w:rPr>
          <w:sz w:val="28"/>
          <w:szCs w:val="28"/>
        </w:rPr>
        <w:t>McP</w:t>
      </w:r>
      <w:r w:rsidR="00471F18">
        <w:rPr>
          <w:sz w:val="28"/>
          <w:szCs w:val="28"/>
        </w:rPr>
        <w:t xml:space="preserve">’s </w:t>
      </w:r>
      <w:r w:rsidR="00A31B94">
        <w:rPr>
          <w:sz w:val="28"/>
          <w:szCs w:val="28"/>
        </w:rPr>
        <w:t>equity contributions into ILQ</w:t>
      </w:r>
      <w:r w:rsidR="00F07708">
        <w:rPr>
          <w:sz w:val="28"/>
          <w:szCs w:val="28"/>
        </w:rPr>
        <w:t xml:space="preserve">, but Mawdsley was </w:t>
      </w:r>
      <w:r w:rsidR="007E6953">
        <w:rPr>
          <w:sz w:val="28"/>
          <w:szCs w:val="28"/>
        </w:rPr>
        <w:t xml:space="preserve">hesitant </w:t>
      </w:r>
      <w:r w:rsidR="00F07708">
        <w:rPr>
          <w:sz w:val="28"/>
          <w:szCs w:val="28"/>
        </w:rPr>
        <w:t xml:space="preserve">to </w:t>
      </w:r>
      <w:r w:rsidR="00471F18">
        <w:rPr>
          <w:sz w:val="28"/>
          <w:szCs w:val="28"/>
        </w:rPr>
        <w:t xml:space="preserve">recommend to HMcP that he produce documents showing </w:t>
      </w:r>
      <w:r w:rsidR="00F07708">
        <w:rPr>
          <w:sz w:val="28"/>
          <w:szCs w:val="28"/>
        </w:rPr>
        <w:t xml:space="preserve">monies “outgoing” in such account since it was irrelevant to the NFA’s inquiry and would involve information private and personal to </w:t>
      </w:r>
      <w:r w:rsidR="009D6876">
        <w:rPr>
          <w:sz w:val="28"/>
          <w:szCs w:val="28"/>
        </w:rPr>
        <w:t>H</w:t>
      </w:r>
      <w:r w:rsidR="00F07708">
        <w:rPr>
          <w:sz w:val="28"/>
          <w:szCs w:val="28"/>
        </w:rPr>
        <w:t>McP.</w:t>
      </w:r>
      <w:proofErr w:type="gramEnd"/>
    </w:p>
    <w:p w:rsidR="00120BF7" w:rsidRDefault="00A87247"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w:t>
      </w:r>
      <w:r w:rsidR="007E6953">
        <w:rPr>
          <w:sz w:val="28"/>
          <w:szCs w:val="28"/>
        </w:rPr>
        <w:t xml:space="preserve">the first sentence in </w:t>
      </w:r>
      <w:r>
        <w:rPr>
          <w:sz w:val="28"/>
          <w:szCs w:val="28"/>
        </w:rPr>
        <w:t>paragraph 36</w:t>
      </w:r>
      <w:r w:rsidR="007E6953">
        <w:rPr>
          <w:sz w:val="28"/>
          <w:szCs w:val="28"/>
        </w:rPr>
        <w:t xml:space="preserve">.  </w:t>
      </w:r>
      <w:proofErr w:type="gramStart"/>
      <w:r w:rsidR="007E6953">
        <w:rPr>
          <w:sz w:val="28"/>
          <w:szCs w:val="28"/>
        </w:rPr>
        <w:t xml:space="preserve">Deny the allegations in the second </w:t>
      </w:r>
      <w:r w:rsidR="00983774">
        <w:rPr>
          <w:sz w:val="28"/>
          <w:szCs w:val="28"/>
        </w:rPr>
        <w:t xml:space="preserve">and third </w:t>
      </w:r>
      <w:r w:rsidR="007E6953">
        <w:rPr>
          <w:sz w:val="28"/>
          <w:szCs w:val="28"/>
        </w:rPr>
        <w:t>sentence</w:t>
      </w:r>
      <w:r w:rsidR="00983774">
        <w:rPr>
          <w:sz w:val="28"/>
          <w:szCs w:val="28"/>
        </w:rPr>
        <w:t>s</w:t>
      </w:r>
      <w:r w:rsidR="007E6953">
        <w:rPr>
          <w:sz w:val="28"/>
          <w:szCs w:val="28"/>
        </w:rPr>
        <w:t xml:space="preserve"> in paragraph 36 in that the NFA mischaracterizes Mawdsley’s June 3, 2013 email</w:t>
      </w:r>
      <w:r>
        <w:rPr>
          <w:sz w:val="28"/>
          <w:szCs w:val="28"/>
        </w:rPr>
        <w:t xml:space="preserve">, and </w:t>
      </w:r>
      <w:r w:rsidR="004C661F">
        <w:rPr>
          <w:sz w:val="28"/>
          <w:szCs w:val="28"/>
        </w:rPr>
        <w:t xml:space="preserve">ILQ </w:t>
      </w:r>
      <w:r>
        <w:rPr>
          <w:sz w:val="28"/>
          <w:szCs w:val="28"/>
        </w:rPr>
        <w:t xml:space="preserve">further states and underscores that by such allegations the NFA is acknowledging and admitting that </w:t>
      </w:r>
      <w:proofErr w:type="spellStart"/>
      <w:r w:rsidR="00470334">
        <w:rPr>
          <w:sz w:val="28"/>
          <w:szCs w:val="28"/>
        </w:rPr>
        <w:t>Mawdsley</w:t>
      </w:r>
      <w:proofErr w:type="spellEnd"/>
      <w:r w:rsidR="00470334">
        <w:rPr>
          <w:sz w:val="28"/>
          <w:szCs w:val="28"/>
        </w:rPr>
        <w:t xml:space="preserve">, as a senior executive of HMcP, was in a position to make </w:t>
      </w:r>
      <w:r w:rsidR="00470334">
        <w:rPr>
          <w:sz w:val="28"/>
          <w:szCs w:val="28"/>
        </w:rPr>
        <w:lastRenderedPageBreak/>
        <w:t xml:space="preserve">recommendations to HMcP regarding the release of </w:t>
      </w:r>
      <w:r w:rsidR="00C110B9">
        <w:rPr>
          <w:sz w:val="28"/>
          <w:szCs w:val="28"/>
        </w:rPr>
        <w:t>HMcP’s</w:t>
      </w:r>
      <w:r>
        <w:rPr>
          <w:sz w:val="28"/>
          <w:szCs w:val="28"/>
        </w:rPr>
        <w:t xml:space="preserve"> financial information, and that ILQ, Tanner and Krier did not have </w:t>
      </w:r>
      <w:r w:rsidRPr="00983774">
        <w:rPr>
          <w:sz w:val="28"/>
          <w:szCs w:val="28"/>
          <w:u w:val="single"/>
        </w:rPr>
        <w:t>possession</w:t>
      </w:r>
      <w:r>
        <w:rPr>
          <w:sz w:val="28"/>
          <w:szCs w:val="28"/>
        </w:rPr>
        <w:t xml:space="preserve">, </w:t>
      </w:r>
      <w:r w:rsidRPr="00983774">
        <w:rPr>
          <w:sz w:val="28"/>
          <w:szCs w:val="28"/>
          <w:u w:val="single"/>
        </w:rPr>
        <w:t>custody</w:t>
      </w:r>
      <w:r>
        <w:rPr>
          <w:sz w:val="28"/>
          <w:szCs w:val="28"/>
        </w:rPr>
        <w:t xml:space="preserve"> or </w:t>
      </w:r>
      <w:r w:rsidRPr="00983774">
        <w:rPr>
          <w:sz w:val="28"/>
          <w:szCs w:val="28"/>
          <w:u w:val="single"/>
        </w:rPr>
        <w:t>control</w:t>
      </w:r>
      <w:r>
        <w:rPr>
          <w:sz w:val="28"/>
          <w:szCs w:val="28"/>
        </w:rPr>
        <w:t xml:space="preserve"> of such information nor the ability to decide whether such information should </w:t>
      </w:r>
      <w:r w:rsidR="004C661F">
        <w:rPr>
          <w:sz w:val="28"/>
          <w:szCs w:val="28"/>
        </w:rPr>
        <w:t xml:space="preserve">or would </w:t>
      </w:r>
      <w:r>
        <w:rPr>
          <w:sz w:val="28"/>
          <w:szCs w:val="28"/>
        </w:rPr>
        <w:t>be produced to the NFA.</w:t>
      </w:r>
      <w:proofErr w:type="gramEnd"/>
    </w:p>
    <w:p w:rsidR="00120BF7" w:rsidRDefault="007263DF" w:rsidP="00AF0A5E">
      <w:pPr>
        <w:pStyle w:val="ListParagraph"/>
        <w:numPr>
          <w:ilvl w:val="0"/>
          <w:numId w:val="1"/>
        </w:numPr>
        <w:spacing w:after="240" w:line="480" w:lineRule="auto"/>
        <w:ind w:left="0" w:firstLine="720"/>
        <w:jc w:val="both"/>
        <w:rPr>
          <w:sz w:val="28"/>
          <w:szCs w:val="28"/>
        </w:rPr>
      </w:pPr>
      <w:r>
        <w:rPr>
          <w:sz w:val="28"/>
          <w:szCs w:val="28"/>
        </w:rPr>
        <w:t xml:space="preserve">ILQ </w:t>
      </w:r>
      <w:r w:rsidR="00BB7E1F">
        <w:rPr>
          <w:sz w:val="28"/>
          <w:szCs w:val="28"/>
        </w:rPr>
        <w:t xml:space="preserve">is without sufficient information to admit or deny the allegations in the first and second sentences in paragraph </w:t>
      </w:r>
      <w:r w:rsidR="005F6F0E">
        <w:rPr>
          <w:sz w:val="28"/>
          <w:szCs w:val="28"/>
        </w:rPr>
        <w:t>37</w:t>
      </w:r>
      <w:r w:rsidR="00BB7E1F">
        <w:rPr>
          <w:sz w:val="28"/>
          <w:szCs w:val="28"/>
        </w:rPr>
        <w:t xml:space="preserve"> in that it does not know what the </w:t>
      </w:r>
      <w:r w:rsidR="005F6F0E">
        <w:rPr>
          <w:sz w:val="28"/>
          <w:szCs w:val="28"/>
        </w:rPr>
        <w:t>“NFA decided” and what the “</w:t>
      </w:r>
      <w:r w:rsidR="00BB7E1F">
        <w:rPr>
          <w:sz w:val="28"/>
          <w:szCs w:val="28"/>
        </w:rPr>
        <w:t xml:space="preserve">NFA </w:t>
      </w:r>
      <w:r w:rsidR="005F6F0E">
        <w:rPr>
          <w:sz w:val="28"/>
          <w:szCs w:val="28"/>
        </w:rPr>
        <w:t xml:space="preserve">also wanted to ask,” and </w:t>
      </w:r>
      <w:r w:rsidR="00BB7E1F">
        <w:rPr>
          <w:sz w:val="28"/>
          <w:szCs w:val="28"/>
        </w:rPr>
        <w:t xml:space="preserve">therefore denies the allegations. </w:t>
      </w:r>
      <w:r w:rsidR="00BB7E1F" w:rsidRPr="00370C35">
        <w:rPr>
          <w:b/>
          <w:sz w:val="28"/>
          <w:szCs w:val="28"/>
        </w:rPr>
        <w:t xml:space="preserve"> </w:t>
      </w:r>
    </w:p>
    <w:p w:rsidR="00120BF7" w:rsidRDefault="008A412F"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38.  </w:t>
      </w:r>
    </w:p>
    <w:p w:rsidR="00120BF7" w:rsidRDefault="008A412F"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39.  </w:t>
      </w:r>
    </w:p>
    <w:p w:rsidR="00120BF7" w:rsidRDefault="008A412F"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40.  </w:t>
      </w:r>
    </w:p>
    <w:p w:rsidR="00120BF7" w:rsidRDefault="008A412F"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41.  </w:t>
      </w:r>
    </w:p>
    <w:p w:rsidR="00120BF7" w:rsidRDefault="008A412F"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paragraph 42.  </w:t>
      </w:r>
    </w:p>
    <w:p w:rsidR="00120BF7" w:rsidRDefault="008A412F" w:rsidP="00AF0A5E">
      <w:pPr>
        <w:pStyle w:val="ListParagraph"/>
        <w:numPr>
          <w:ilvl w:val="0"/>
          <w:numId w:val="1"/>
        </w:numPr>
        <w:spacing w:after="240" w:line="480" w:lineRule="auto"/>
        <w:ind w:left="0" w:firstLine="720"/>
        <w:jc w:val="both"/>
        <w:rPr>
          <w:sz w:val="28"/>
          <w:szCs w:val="28"/>
        </w:rPr>
      </w:pPr>
      <w:r>
        <w:rPr>
          <w:sz w:val="28"/>
          <w:szCs w:val="28"/>
        </w:rPr>
        <w:t>Admits the allegations in paragraph 43</w:t>
      </w:r>
      <w:r w:rsidR="0079253E">
        <w:rPr>
          <w:sz w:val="28"/>
          <w:szCs w:val="28"/>
        </w:rPr>
        <w:t xml:space="preserve">, and further states that by such testimony Tanner </w:t>
      </w:r>
      <w:proofErr w:type="gramStart"/>
      <w:r w:rsidR="0079253E">
        <w:rPr>
          <w:sz w:val="28"/>
          <w:szCs w:val="28"/>
        </w:rPr>
        <w:t>was</w:t>
      </w:r>
      <w:proofErr w:type="gramEnd"/>
      <w:r w:rsidR="0079253E">
        <w:rPr>
          <w:sz w:val="28"/>
          <w:szCs w:val="28"/>
        </w:rPr>
        <w:t xml:space="preserve"> acknowledging that neither ILQ, Krier</w:t>
      </w:r>
      <w:r w:rsidR="004A3A1E">
        <w:rPr>
          <w:sz w:val="28"/>
          <w:szCs w:val="28"/>
        </w:rPr>
        <w:t>,</w:t>
      </w:r>
      <w:r w:rsidR="0079253E">
        <w:rPr>
          <w:sz w:val="28"/>
          <w:szCs w:val="28"/>
        </w:rPr>
        <w:t xml:space="preserve"> </w:t>
      </w:r>
      <w:r w:rsidR="004A3A1E">
        <w:rPr>
          <w:sz w:val="28"/>
          <w:szCs w:val="28"/>
        </w:rPr>
        <w:t>n</w:t>
      </w:r>
      <w:r w:rsidR="0079253E">
        <w:rPr>
          <w:sz w:val="28"/>
          <w:szCs w:val="28"/>
        </w:rPr>
        <w:t xml:space="preserve">or he had possession, custody or control of </w:t>
      </w:r>
      <w:r w:rsidR="00470334">
        <w:rPr>
          <w:sz w:val="28"/>
          <w:szCs w:val="28"/>
        </w:rPr>
        <w:t>HMcP’s</w:t>
      </w:r>
      <w:r w:rsidR="0079253E">
        <w:rPr>
          <w:sz w:val="28"/>
          <w:szCs w:val="28"/>
        </w:rPr>
        <w:t xml:space="preserve"> financial information and that all decisions with respect thereto were to be made by </w:t>
      </w:r>
      <w:r w:rsidR="00470334">
        <w:rPr>
          <w:sz w:val="28"/>
          <w:szCs w:val="28"/>
        </w:rPr>
        <w:t>HMcP</w:t>
      </w:r>
      <w:r w:rsidR="007E6953">
        <w:rPr>
          <w:sz w:val="28"/>
          <w:szCs w:val="28"/>
        </w:rPr>
        <w:t>.</w:t>
      </w:r>
      <w:r w:rsidR="0079253E">
        <w:rPr>
          <w:sz w:val="28"/>
          <w:szCs w:val="28"/>
        </w:rPr>
        <w:t xml:space="preserve"> </w:t>
      </w:r>
    </w:p>
    <w:p w:rsidR="00120BF7" w:rsidRDefault="00507212" w:rsidP="00AF0A5E">
      <w:pPr>
        <w:pStyle w:val="ListParagraph"/>
        <w:numPr>
          <w:ilvl w:val="0"/>
          <w:numId w:val="1"/>
        </w:numPr>
        <w:spacing w:after="240" w:line="480" w:lineRule="auto"/>
        <w:ind w:left="0" w:firstLine="720"/>
        <w:jc w:val="both"/>
        <w:rPr>
          <w:sz w:val="28"/>
          <w:szCs w:val="28"/>
        </w:rPr>
      </w:pPr>
      <w:r>
        <w:rPr>
          <w:sz w:val="28"/>
          <w:szCs w:val="28"/>
        </w:rPr>
        <w:t>Den</w:t>
      </w:r>
      <w:r w:rsidR="00B82728">
        <w:rPr>
          <w:sz w:val="28"/>
          <w:szCs w:val="28"/>
        </w:rPr>
        <w:t xml:space="preserve">y </w:t>
      </w:r>
      <w:r w:rsidR="008A412F">
        <w:rPr>
          <w:sz w:val="28"/>
          <w:szCs w:val="28"/>
        </w:rPr>
        <w:t xml:space="preserve">the allegations in </w:t>
      </w:r>
      <w:r>
        <w:rPr>
          <w:sz w:val="28"/>
          <w:szCs w:val="28"/>
        </w:rPr>
        <w:t xml:space="preserve">the first sentence </w:t>
      </w:r>
      <w:r w:rsidR="00E518DA">
        <w:rPr>
          <w:sz w:val="28"/>
          <w:szCs w:val="28"/>
        </w:rPr>
        <w:t xml:space="preserve">in </w:t>
      </w:r>
      <w:r w:rsidR="008A412F">
        <w:rPr>
          <w:sz w:val="28"/>
          <w:szCs w:val="28"/>
        </w:rPr>
        <w:t>paragraph 44</w:t>
      </w:r>
      <w:r>
        <w:rPr>
          <w:sz w:val="28"/>
          <w:szCs w:val="28"/>
        </w:rPr>
        <w:t xml:space="preserve">, and further states that </w:t>
      </w:r>
      <w:r w:rsidR="00983774">
        <w:rPr>
          <w:sz w:val="28"/>
          <w:szCs w:val="28"/>
        </w:rPr>
        <w:t xml:space="preserve">it does not know what the “NFA also learned” and </w:t>
      </w:r>
      <w:r>
        <w:rPr>
          <w:sz w:val="28"/>
          <w:szCs w:val="28"/>
        </w:rPr>
        <w:t>the allegations in that sentence are a mischaracterization of Tanner’s testimony</w:t>
      </w:r>
      <w:r w:rsidR="00D32358">
        <w:rPr>
          <w:sz w:val="28"/>
          <w:szCs w:val="28"/>
        </w:rPr>
        <w:t xml:space="preserve">.  </w:t>
      </w:r>
      <w:r w:rsidR="00983774">
        <w:rPr>
          <w:sz w:val="28"/>
          <w:szCs w:val="28"/>
        </w:rPr>
        <w:t xml:space="preserve">Deny </w:t>
      </w:r>
      <w:r w:rsidR="00D32358">
        <w:rPr>
          <w:sz w:val="28"/>
          <w:szCs w:val="28"/>
        </w:rPr>
        <w:t xml:space="preserve">the allegations in </w:t>
      </w:r>
      <w:r w:rsidR="00D32358">
        <w:rPr>
          <w:sz w:val="28"/>
          <w:szCs w:val="28"/>
        </w:rPr>
        <w:lastRenderedPageBreak/>
        <w:t xml:space="preserve">the second sentence </w:t>
      </w:r>
      <w:r w:rsidR="009A5042">
        <w:rPr>
          <w:sz w:val="28"/>
          <w:szCs w:val="28"/>
        </w:rPr>
        <w:t>in</w:t>
      </w:r>
      <w:r w:rsidR="00D32358">
        <w:rPr>
          <w:sz w:val="28"/>
          <w:szCs w:val="28"/>
        </w:rPr>
        <w:t xml:space="preserve"> paragraph 44, and further states that the allegations are not relevant</w:t>
      </w:r>
      <w:r w:rsidR="00B82728">
        <w:rPr>
          <w:sz w:val="28"/>
          <w:szCs w:val="28"/>
        </w:rPr>
        <w:t xml:space="preserve"> to the alleged violations</w:t>
      </w:r>
      <w:r w:rsidR="009B326E">
        <w:rPr>
          <w:sz w:val="28"/>
          <w:szCs w:val="28"/>
        </w:rPr>
        <w:t xml:space="preserve">.  Deny the allegations in the third sentence </w:t>
      </w:r>
      <w:r w:rsidR="009A5042">
        <w:rPr>
          <w:sz w:val="28"/>
          <w:szCs w:val="28"/>
        </w:rPr>
        <w:t>in</w:t>
      </w:r>
      <w:r w:rsidR="009B326E">
        <w:rPr>
          <w:sz w:val="28"/>
          <w:szCs w:val="28"/>
        </w:rPr>
        <w:t xml:space="preserve"> paragraph 44, and further states that </w:t>
      </w:r>
      <w:r w:rsidR="00983774">
        <w:rPr>
          <w:sz w:val="28"/>
          <w:szCs w:val="28"/>
        </w:rPr>
        <w:t xml:space="preserve">it does not know “the misimpressions on NFA’s part” and further states that </w:t>
      </w:r>
      <w:r w:rsidR="009B326E">
        <w:rPr>
          <w:sz w:val="28"/>
          <w:szCs w:val="28"/>
        </w:rPr>
        <w:t>the allegations in that sentence are a mischaracterization of Tanner’s testimony</w:t>
      </w:r>
      <w:r w:rsidR="008A412F">
        <w:rPr>
          <w:sz w:val="28"/>
          <w:szCs w:val="28"/>
        </w:rPr>
        <w:t xml:space="preserve">.  </w:t>
      </w:r>
    </w:p>
    <w:p w:rsidR="007E6953" w:rsidRPr="007E6953" w:rsidRDefault="008A412F" w:rsidP="00AF0A5E">
      <w:pPr>
        <w:pStyle w:val="ListParagraph"/>
        <w:numPr>
          <w:ilvl w:val="0"/>
          <w:numId w:val="1"/>
        </w:numPr>
        <w:spacing w:after="240" w:line="480" w:lineRule="auto"/>
        <w:ind w:left="0" w:firstLine="720"/>
        <w:jc w:val="both"/>
        <w:rPr>
          <w:sz w:val="28"/>
          <w:szCs w:val="28"/>
        </w:rPr>
      </w:pPr>
      <w:r w:rsidRPr="007E6953">
        <w:rPr>
          <w:sz w:val="28"/>
          <w:szCs w:val="28"/>
        </w:rPr>
        <w:t xml:space="preserve">Admits the allegations in </w:t>
      </w:r>
      <w:r w:rsidR="00CA58BA" w:rsidRPr="007E6953">
        <w:rPr>
          <w:sz w:val="28"/>
          <w:szCs w:val="28"/>
        </w:rPr>
        <w:t xml:space="preserve">the first sentence in </w:t>
      </w:r>
      <w:r w:rsidRPr="007E6953">
        <w:rPr>
          <w:sz w:val="28"/>
          <w:szCs w:val="28"/>
        </w:rPr>
        <w:t>paragraph 45</w:t>
      </w:r>
      <w:r w:rsidR="00CA58BA" w:rsidRPr="007E6953">
        <w:rPr>
          <w:sz w:val="28"/>
          <w:szCs w:val="28"/>
        </w:rPr>
        <w:t xml:space="preserve">.  Deny the allegations in the second and third sentences </w:t>
      </w:r>
      <w:r w:rsidR="00E518DA">
        <w:rPr>
          <w:sz w:val="28"/>
          <w:szCs w:val="28"/>
        </w:rPr>
        <w:t xml:space="preserve">in </w:t>
      </w:r>
      <w:r w:rsidR="00CA58BA" w:rsidRPr="007E6953">
        <w:rPr>
          <w:sz w:val="28"/>
          <w:szCs w:val="28"/>
        </w:rPr>
        <w:t xml:space="preserve">paragraph 45. </w:t>
      </w:r>
      <w:r w:rsidR="00B82728">
        <w:rPr>
          <w:sz w:val="28"/>
          <w:szCs w:val="28"/>
        </w:rPr>
        <w:t xml:space="preserve">ILQ </w:t>
      </w:r>
      <w:r w:rsidR="00DB1608" w:rsidRPr="007E6953">
        <w:rPr>
          <w:sz w:val="28"/>
          <w:szCs w:val="28"/>
        </w:rPr>
        <w:t xml:space="preserve">is without sufficient information to admit or deny the allegations in the fourth and fifth sentences in paragraph 45 in that it does not know what the “NFA. . . noted” and what the “NFA also determined,” and therefore denies the allegations in those two sentences. </w:t>
      </w:r>
      <w:r w:rsidR="00DB1608" w:rsidRPr="007E6953">
        <w:rPr>
          <w:b/>
          <w:sz w:val="28"/>
          <w:szCs w:val="28"/>
        </w:rPr>
        <w:t xml:space="preserve"> </w:t>
      </w:r>
    </w:p>
    <w:p w:rsidR="00120BF7" w:rsidRPr="007E6953" w:rsidRDefault="00255E5A" w:rsidP="00AF0A5E">
      <w:pPr>
        <w:pStyle w:val="ListParagraph"/>
        <w:numPr>
          <w:ilvl w:val="0"/>
          <w:numId w:val="1"/>
        </w:numPr>
        <w:spacing w:after="240" w:line="480" w:lineRule="auto"/>
        <w:ind w:left="0" w:firstLine="720"/>
        <w:jc w:val="both"/>
        <w:rPr>
          <w:sz w:val="28"/>
          <w:szCs w:val="28"/>
        </w:rPr>
      </w:pPr>
      <w:r w:rsidRPr="007E6953">
        <w:rPr>
          <w:sz w:val="28"/>
          <w:szCs w:val="28"/>
        </w:rPr>
        <w:t>Admits the allegations in paragraph 46</w:t>
      </w:r>
      <w:r w:rsidR="00DE242D">
        <w:rPr>
          <w:sz w:val="28"/>
          <w:szCs w:val="28"/>
        </w:rPr>
        <w:t xml:space="preserve"> to the extent that </w:t>
      </w:r>
      <w:r w:rsidR="00B82728">
        <w:rPr>
          <w:sz w:val="28"/>
          <w:szCs w:val="28"/>
        </w:rPr>
        <w:t xml:space="preserve">ILQ </w:t>
      </w:r>
      <w:r w:rsidR="00DE242D">
        <w:rPr>
          <w:sz w:val="28"/>
          <w:szCs w:val="28"/>
        </w:rPr>
        <w:t>understands the allegations</w:t>
      </w:r>
      <w:r w:rsidR="009115CA">
        <w:rPr>
          <w:sz w:val="28"/>
          <w:szCs w:val="28"/>
        </w:rPr>
        <w:t xml:space="preserve"> in the paragraph</w:t>
      </w:r>
      <w:r w:rsidRPr="007E6953">
        <w:rPr>
          <w:sz w:val="28"/>
          <w:szCs w:val="28"/>
        </w:rPr>
        <w:t>.</w:t>
      </w:r>
      <w:r w:rsidRPr="007E6953">
        <w:rPr>
          <w:b/>
          <w:sz w:val="28"/>
          <w:szCs w:val="28"/>
        </w:rPr>
        <w:t xml:space="preserve">  </w:t>
      </w:r>
    </w:p>
    <w:p w:rsidR="0059405F" w:rsidRDefault="0059405F"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w:t>
      </w:r>
      <w:r w:rsidR="00E518DA">
        <w:rPr>
          <w:sz w:val="28"/>
          <w:szCs w:val="28"/>
        </w:rPr>
        <w:t xml:space="preserve">in </w:t>
      </w:r>
      <w:r>
        <w:rPr>
          <w:sz w:val="28"/>
          <w:szCs w:val="28"/>
        </w:rPr>
        <w:t xml:space="preserve">paragraph 47.  </w:t>
      </w:r>
      <w:r w:rsidR="00B82728">
        <w:rPr>
          <w:sz w:val="28"/>
          <w:szCs w:val="28"/>
        </w:rPr>
        <w:t xml:space="preserve">ILQ </w:t>
      </w:r>
      <w:r>
        <w:rPr>
          <w:sz w:val="28"/>
          <w:szCs w:val="28"/>
        </w:rPr>
        <w:t>is without sufficient information to admit or deny the allegations in the second sentence in paragraph 47 in that it does not know what the “NFA also noted,” and therefore denies the allegations in the second sentence</w:t>
      </w:r>
      <w:r w:rsidR="00AF3EE9">
        <w:rPr>
          <w:sz w:val="28"/>
          <w:szCs w:val="28"/>
        </w:rPr>
        <w:t xml:space="preserve"> </w:t>
      </w:r>
      <w:r w:rsidR="00E518DA">
        <w:rPr>
          <w:sz w:val="28"/>
          <w:szCs w:val="28"/>
        </w:rPr>
        <w:t xml:space="preserve">in </w:t>
      </w:r>
      <w:r w:rsidR="00AF3EE9">
        <w:rPr>
          <w:sz w:val="28"/>
          <w:szCs w:val="28"/>
        </w:rPr>
        <w:t>paragraph 47</w:t>
      </w:r>
      <w:r w:rsidR="00731CAF">
        <w:rPr>
          <w:sz w:val="28"/>
          <w:szCs w:val="28"/>
        </w:rPr>
        <w:t>, and further states that the NFA’s allegations mischaracterize the completeness or duplicity of the statements provided on August 20, 2013</w:t>
      </w:r>
      <w:r>
        <w:rPr>
          <w:sz w:val="28"/>
          <w:szCs w:val="28"/>
        </w:rPr>
        <w:t xml:space="preserve">. </w:t>
      </w:r>
      <w:r w:rsidRPr="00370C35">
        <w:rPr>
          <w:b/>
          <w:sz w:val="28"/>
          <w:szCs w:val="28"/>
        </w:rPr>
        <w:t xml:space="preserve"> </w:t>
      </w:r>
    </w:p>
    <w:p w:rsidR="00120BF7" w:rsidRDefault="00A57F24" w:rsidP="00AF0A5E">
      <w:pPr>
        <w:pStyle w:val="ListParagraph"/>
        <w:numPr>
          <w:ilvl w:val="0"/>
          <w:numId w:val="1"/>
        </w:numPr>
        <w:spacing w:after="240" w:line="480" w:lineRule="auto"/>
        <w:ind w:left="0" w:firstLine="720"/>
        <w:jc w:val="both"/>
        <w:rPr>
          <w:sz w:val="28"/>
          <w:szCs w:val="28"/>
        </w:rPr>
      </w:pPr>
      <w:proofErr w:type="gramStart"/>
      <w:r>
        <w:rPr>
          <w:sz w:val="28"/>
          <w:szCs w:val="28"/>
        </w:rPr>
        <w:lastRenderedPageBreak/>
        <w:t xml:space="preserve">Admits the allegations in the first </w:t>
      </w:r>
      <w:r w:rsidR="00DB0296">
        <w:rPr>
          <w:sz w:val="28"/>
          <w:szCs w:val="28"/>
        </w:rPr>
        <w:t xml:space="preserve">and second </w:t>
      </w:r>
      <w:r>
        <w:rPr>
          <w:sz w:val="28"/>
          <w:szCs w:val="28"/>
        </w:rPr>
        <w:t>sentence</w:t>
      </w:r>
      <w:r w:rsidR="00DB0296">
        <w:rPr>
          <w:sz w:val="28"/>
          <w:szCs w:val="28"/>
        </w:rPr>
        <w:t>s</w:t>
      </w:r>
      <w:r w:rsidR="00E518DA">
        <w:rPr>
          <w:sz w:val="28"/>
          <w:szCs w:val="28"/>
        </w:rPr>
        <w:t xml:space="preserve"> in </w:t>
      </w:r>
      <w:r>
        <w:rPr>
          <w:sz w:val="28"/>
          <w:szCs w:val="28"/>
        </w:rPr>
        <w:t xml:space="preserve">paragraph 48, and further states that by such allegations the NFA is admitting the </w:t>
      </w:r>
      <w:r w:rsidR="00983554">
        <w:rPr>
          <w:sz w:val="28"/>
          <w:szCs w:val="28"/>
        </w:rPr>
        <w:t xml:space="preserve">conduit </w:t>
      </w:r>
      <w:r>
        <w:rPr>
          <w:sz w:val="28"/>
          <w:szCs w:val="28"/>
        </w:rPr>
        <w:t xml:space="preserve">role of </w:t>
      </w:r>
      <w:proofErr w:type="spellStart"/>
      <w:r>
        <w:rPr>
          <w:sz w:val="28"/>
          <w:szCs w:val="28"/>
        </w:rPr>
        <w:t>Mawdsley</w:t>
      </w:r>
      <w:proofErr w:type="spellEnd"/>
      <w:r>
        <w:rPr>
          <w:sz w:val="28"/>
          <w:szCs w:val="28"/>
        </w:rPr>
        <w:t xml:space="preserve"> in </w:t>
      </w:r>
      <w:r w:rsidR="00983554">
        <w:rPr>
          <w:sz w:val="28"/>
          <w:szCs w:val="28"/>
        </w:rPr>
        <w:t xml:space="preserve">communicating with HMcP about </w:t>
      </w:r>
      <w:r>
        <w:rPr>
          <w:sz w:val="28"/>
          <w:szCs w:val="28"/>
        </w:rPr>
        <w:t xml:space="preserve">decisions with respect to the financial statements of </w:t>
      </w:r>
      <w:r w:rsidR="00983554">
        <w:rPr>
          <w:sz w:val="28"/>
          <w:szCs w:val="28"/>
        </w:rPr>
        <w:t>H</w:t>
      </w:r>
      <w:r>
        <w:rPr>
          <w:sz w:val="28"/>
          <w:szCs w:val="28"/>
        </w:rPr>
        <w:t>McP.</w:t>
      </w:r>
      <w:proofErr w:type="gramEnd"/>
      <w:r w:rsidR="00DB0296">
        <w:rPr>
          <w:sz w:val="28"/>
          <w:szCs w:val="28"/>
        </w:rPr>
        <w:t xml:space="preserve">  </w:t>
      </w:r>
      <w:r w:rsidR="00F822C0">
        <w:rPr>
          <w:sz w:val="28"/>
          <w:szCs w:val="28"/>
        </w:rPr>
        <w:t xml:space="preserve">Deny the allegations in the third sentence </w:t>
      </w:r>
      <w:r w:rsidR="009A5042">
        <w:rPr>
          <w:sz w:val="28"/>
          <w:szCs w:val="28"/>
        </w:rPr>
        <w:t xml:space="preserve">in </w:t>
      </w:r>
      <w:r w:rsidR="00F822C0">
        <w:rPr>
          <w:sz w:val="28"/>
          <w:szCs w:val="28"/>
        </w:rPr>
        <w:t xml:space="preserve">paragraph 48 in that they are </w:t>
      </w:r>
      <w:r w:rsidR="00942E87">
        <w:rPr>
          <w:sz w:val="28"/>
          <w:szCs w:val="28"/>
        </w:rPr>
        <w:t xml:space="preserve">a </w:t>
      </w:r>
      <w:r w:rsidR="00F822C0">
        <w:rPr>
          <w:sz w:val="28"/>
          <w:szCs w:val="28"/>
        </w:rPr>
        <w:t>mischaracterization of what Tanner said.</w:t>
      </w:r>
    </w:p>
    <w:p w:rsidR="00120BF7" w:rsidRPr="00127E1F" w:rsidRDefault="00AB0826" w:rsidP="00AF0A5E">
      <w:pPr>
        <w:pStyle w:val="ListParagraph"/>
        <w:numPr>
          <w:ilvl w:val="0"/>
          <w:numId w:val="1"/>
        </w:numPr>
        <w:spacing w:after="240" w:line="480" w:lineRule="auto"/>
        <w:ind w:left="0" w:firstLine="720"/>
        <w:jc w:val="both"/>
        <w:rPr>
          <w:sz w:val="28"/>
          <w:szCs w:val="28"/>
        </w:rPr>
      </w:pPr>
      <w:r>
        <w:rPr>
          <w:sz w:val="28"/>
          <w:szCs w:val="28"/>
        </w:rPr>
        <w:t xml:space="preserve">Deny </w:t>
      </w:r>
      <w:r w:rsidR="00127E1F">
        <w:rPr>
          <w:sz w:val="28"/>
          <w:szCs w:val="28"/>
        </w:rPr>
        <w:t xml:space="preserve">the allegations in </w:t>
      </w:r>
      <w:r w:rsidR="00E148C4">
        <w:rPr>
          <w:sz w:val="28"/>
          <w:szCs w:val="28"/>
        </w:rPr>
        <w:t xml:space="preserve">the first sentence </w:t>
      </w:r>
      <w:r w:rsidR="009A5042">
        <w:rPr>
          <w:sz w:val="28"/>
          <w:szCs w:val="28"/>
        </w:rPr>
        <w:t xml:space="preserve">in </w:t>
      </w:r>
      <w:r w:rsidR="00127E1F">
        <w:rPr>
          <w:sz w:val="28"/>
          <w:szCs w:val="28"/>
        </w:rPr>
        <w:t>paragraph 49</w:t>
      </w:r>
      <w:r w:rsidR="00E148C4">
        <w:rPr>
          <w:sz w:val="28"/>
          <w:szCs w:val="28"/>
        </w:rPr>
        <w:t xml:space="preserve">.  Deny the allegations in the second sentence in paragraph 49, and further states </w:t>
      </w:r>
      <w:r w:rsidR="00DE7C63">
        <w:rPr>
          <w:sz w:val="28"/>
          <w:szCs w:val="28"/>
        </w:rPr>
        <w:t>that the Complaint mischaracterizes the nature of the inquiries made by the NFA</w:t>
      </w:r>
      <w:r w:rsidR="00AE562C">
        <w:rPr>
          <w:sz w:val="28"/>
          <w:szCs w:val="28"/>
        </w:rPr>
        <w:t xml:space="preserve"> during the referred to telephone conversation among Cynthia Cain, Mawdsley and Tanner and further states </w:t>
      </w:r>
      <w:r w:rsidR="004D3A5F">
        <w:rPr>
          <w:sz w:val="28"/>
          <w:szCs w:val="28"/>
        </w:rPr>
        <w:t>that Mawdsley offered to put the NFA staff in contact with personnel at the foreign bank, UBS AG, that would be able to answer any question</w:t>
      </w:r>
      <w:r w:rsidR="00FE0BB8">
        <w:rPr>
          <w:sz w:val="28"/>
          <w:szCs w:val="28"/>
        </w:rPr>
        <w:t>s</w:t>
      </w:r>
      <w:r w:rsidR="004D3A5F">
        <w:rPr>
          <w:sz w:val="28"/>
          <w:szCs w:val="28"/>
        </w:rPr>
        <w:t xml:space="preserve"> that the NFA might have regarding the nature of the account and the type of the transactions that could be conducted in an account of such type</w:t>
      </w:r>
      <w:r w:rsidR="00113111">
        <w:rPr>
          <w:sz w:val="28"/>
          <w:szCs w:val="28"/>
        </w:rPr>
        <w:t>.</w:t>
      </w:r>
      <w:r w:rsidR="00A25100">
        <w:rPr>
          <w:sz w:val="28"/>
          <w:szCs w:val="28"/>
        </w:rPr>
        <w:t xml:space="preserve">  The NFA declined the opportunity to be put in contact with UBS AG.</w:t>
      </w:r>
    </w:p>
    <w:p w:rsidR="00120BF7" w:rsidRDefault="00637B88" w:rsidP="00AF0A5E">
      <w:pPr>
        <w:pStyle w:val="ListParagraph"/>
        <w:numPr>
          <w:ilvl w:val="0"/>
          <w:numId w:val="1"/>
        </w:numPr>
        <w:spacing w:after="240" w:line="480" w:lineRule="auto"/>
        <w:ind w:left="0" w:firstLine="720"/>
        <w:jc w:val="both"/>
        <w:rPr>
          <w:sz w:val="28"/>
          <w:szCs w:val="28"/>
        </w:rPr>
      </w:pPr>
      <w:r>
        <w:rPr>
          <w:sz w:val="28"/>
          <w:szCs w:val="28"/>
        </w:rPr>
        <w:t>Admits the allegations in paragraph 50, and further states that the letter should be read, interpreted and enforced as a whole.</w:t>
      </w:r>
    </w:p>
    <w:p w:rsidR="00120BF7" w:rsidRDefault="00DB6014" w:rsidP="00AF0A5E">
      <w:pPr>
        <w:pStyle w:val="ListParagraph"/>
        <w:numPr>
          <w:ilvl w:val="0"/>
          <w:numId w:val="1"/>
        </w:numPr>
        <w:spacing w:after="240" w:line="480" w:lineRule="auto"/>
        <w:ind w:left="0" w:firstLine="720"/>
        <w:jc w:val="both"/>
        <w:rPr>
          <w:sz w:val="28"/>
          <w:szCs w:val="28"/>
        </w:rPr>
      </w:pPr>
      <w:r>
        <w:rPr>
          <w:sz w:val="28"/>
          <w:szCs w:val="28"/>
        </w:rPr>
        <w:t>Admits the allegations in paragraph 51.</w:t>
      </w:r>
    </w:p>
    <w:p w:rsidR="00120BF7" w:rsidRDefault="00450D06" w:rsidP="00AF0A5E">
      <w:pPr>
        <w:pStyle w:val="ListParagraph"/>
        <w:numPr>
          <w:ilvl w:val="0"/>
          <w:numId w:val="1"/>
        </w:numPr>
        <w:spacing w:after="240" w:line="480" w:lineRule="auto"/>
        <w:ind w:left="0" w:firstLine="720"/>
        <w:jc w:val="both"/>
        <w:rPr>
          <w:sz w:val="28"/>
          <w:szCs w:val="28"/>
        </w:rPr>
      </w:pPr>
      <w:r>
        <w:rPr>
          <w:sz w:val="28"/>
          <w:szCs w:val="28"/>
        </w:rPr>
        <w:t>Deny the allegations in paragraph 52, and ILQ further states that the allegations</w:t>
      </w:r>
      <w:r w:rsidR="00FA622C">
        <w:rPr>
          <w:sz w:val="28"/>
          <w:szCs w:val="28"/>
        </w:rPr>
        <w:t xml:space="preserve"> are a m</w:t>
      </w:r>
      <w:r>
        <w:rPr>
          <w:sz w:val="28"/>
          <w:szCs w:val="28"/>
        </w:rPr>
        <w:t>ischaracterization of the communications, good faith efforts</w:t>
      </w:r>
      <w:r w:rsidR="00FA622C">
        <w:rPr>
          <w:sz w:val="28"/>
          <w:szCs w:val="28"/>
        </w:rPr>
        <w:t>,</w:t>
      </w:r>
      <w:r>
        <w:rPr>
          <w:sz w:val="28"/>
          <w:szCs w:val="28"/>
        </w:rPr>
        <w:t xml:space="preserve"> and production of information between March 18, 2013 and September 2013.</w:t>
      </w:r>
    </w:p>
    <w:p w:rsidR="00120BF7" w:rsidRDefault="0056396B" w:rsidP="00AF0A5E">
      <w:pPr>
        <w:pStyle w:val="ListParagraph"/>
        <w:numPr>
          <w:ilvl w:val="0"/>
          <w:numId w:val="1"/>
        </w:numPr>
        <w:spacing w:after="240" w:line="480" w:lineRule="auto"/>
        <w:ind w:left="0" w:firstLine="720"/>
        <w:jc w:val="both"/>
        <w:rPr>
          <w:sz w:val="28"/>
          <w:szCs w:val="28"/>
        </w:rPr>
      </w:pPr>
      <w:r>
        <w:rPr>
          <w:sz w:val="28"/>
          <w:szCs w:val="28"/>
        </w:rPr>
        <w:lastRenderedPageBreak/>
        <w:t>Deny the allegations in paragraph 53</w:t>
      </w:r>
      <w:r w:rsidR="000E32F6">
        <w:rPr>
          <w:sz w:val="28"/>
          <w:szCs w:val="28"/>
        </w:rPr>
        <w:t xml:space="preserve">, and further states </w:t>
      </w:r>
      <w:r w:rsidR="007D6B81">
        <w:rPr>
          <w:sz w:val="28"/>
          <w:szCs w:val="28"/>
        </w:rPr>
        <w:t>that in a series of communications the NFA asked for information on a “piecemeal basis.”</w:t>
      </w:r>
    </w:p>
    <w:p w:rsidR="00120BF7" w:rsidRDefault="0056396B" w:rsidP="00AF0A5E">
      <w:pPr>
        <w:pStyle w:val="ListParagraph"/>
        <w:numPr>
          <w:ilvl w:val="0"/>
          <w:numId w:val="1"/>
        </w:numPr>
        <w:spacing w:after="240" w:line="480" w:lineRule="auto"/>
        <w:ind w:left="0" w:firstLine="720"/>
        <w:jc w:val="both"/>
        <w:rPr>
          <w:sz w:val="28"/>
          <w:szCs w:val="28"/>
        </w:rPr>
      </w:pPr>
      <w:r>
        <w:rPr>
          <w:sz w:val="28"/>
          <w:szCs w:val="28"/>
        </w:rPr>
        <w:t>Deny the allegations in paragraph 54.</w:t>
      </w:r>
    </w:p>
    <w:p w:rsidR="00120BF7" w:rsidRDefault="0056396B" w:rsidP="00AF0A5E">
      <w:pPr>
        <w:pStyle w:val="ListParagraph"/>
        <w:numPr>
          <w:ilvl w:val="0"/>
          <w:numId w:val="1"/>
        </w:numPr>
        <w:spacing w:line="480" w:lineRule="auto"/>
        <w:ind w:left="0" w:firstLine="720"/>
        <w:jc w:val="both"/>
        <w:rPr>
          <w:sz w:val="28"/>
          <w:szCs w:val="28"/>
        </w:rPr>
      </w:pPr>
      <w:r>
        <w:rPr>
          <w:sz w:val="28"/>
          <w:szCs w:val="28"/>
        </w:rPr>
        <w:t>Deny the allegations in paragraph 55.</w:t>
      </w:r>
    </w:p>
    <w:p w:rsidR="0056396B" w:rsidRPr="0056396B" w:rsidRDefault="0056396B" w:rsidP="00AF0A5E">
      <w:pPr>
        <w:spacing w:line="480" w:lineRule="auto"/>
        <w:contextualSpacing/>
        <w:jc w:val="both"/>
        <w:rPr>
          <w:b/>
          <w:sz w:val="28"/>
          <w:szCs w:val="28"/>
          <w:u w:val="single"/>
        </w:rPr>
      </w:pPr>
      <w:r w:rsidRPr="0056396B">
        <w:rPr>
          <w:b/>
          <w:sz w:val="28"/>
          <w:szCs w:val="28"/>
          <w:u w:val="single"/>
        </w:rPr>
        <w:t>Count II</w:t>
      </w:r>
    </w:p>
    <w:p w:rsidR="00120BF7" w:rsidRDefault="00565002" w:rsidP="00AF0A5E">
      <w:pPr>
        <w:pStyle w:val="ListParagraph"/>
        <w:numPr>
          <w:ilvl w:val="0"/>
          <w:numId w:val="1"/>
        </w:numPr>
        <w:spacing w:after="240" w:line="480" w:lineRule="auto"/>
        <w:ind w:left="0" w:firstLine="720"/>
        <w:jc w:val="both"/>
        <w:rPr>
          <w:sz w:val="28"/>
          <w:szCs w:val="28"/>
        </w:rPr>
      </w:pPr>
      <w:r w:rsidRPr="00120BF7">
        <w:rPr>
          <w:sz w:val="28"/>
          <w:szCs w:val="28"/>
        </w:rPr>
        <w:t xml:space="preserve">ILQ reasserts the answers heretofore provided in paragraphs </w:t>
      </w:r>
      <w:r w:rsidR="005D29C2">
        <w:rPr>
          <w:sz w:val="28"/>
          <w:szCs w:val="28"/>
        </w:rPr>
        <w:t>1, 3, 5-15 and 17.</w:t>
      </w:r>
    </w:p>
    <w:p w:rsidR="00E81D5F" w:rsidRDefault="00B33353" w:rsidP="00AF0A5E">
      <w:pPr>
        <w:pStyle w:val="ListParagraph"/>
        <w:numPr>
          <w:ilvl w:val="0"/>
          <w:numId w:val="1"/>
        </w:numPr>
        <w:spacing w:after="240" w:line="480" w:lineRule="auto"/>
        <w:ind w:left="0" w:firstLine="720"/>
        <w:jc w:val="both"/>
        <w:rPr>
          <w:sz w:val="28"/>
          <w:szCs w:val="28"/>
        </w:rPr>
      </w:pPr>
      <w:r w:rsidRPr="00E81D5F">
        <w:rPr>
          <w:sz w:val="28"/>
          <w:szCs w:val="28"/>
        </w:rPr>
        <w:t>Admits the allegations in paragraph 57</w:t>
      </w:r>
      <w:r w:rsidR="00C63A83" w:rsidRPr="00E81D5F">
        <w:rPr>
          <w:sz w:val="28"/>
          <w:szCs w:val="28"/>
        </w:rPr>
        <w:t xml:space="preserve">.  </w:t>
      </w:r>
    </w:p>
    <w:p w:rsidR="00961BC9" w:rsidRPr="00E81D5F" w:rsidRDefault="00E81D5F" w:rsidP="00AF0A5E">
      <w:pPr>
        <w:pStyle w:val="ListParagraph"/>
        <w:numPr>
          <w:ilvl w:val="0"/>
          <w:numId w:val="1"/>
        </w:numPr>
        <w:spacing w:after="240" w:line="480" w:lineRule="auto"/>
        <w:ind w:left="0" w:firstLine="720"/>
        <w:jc w:val="both"/>
        <w:rPr>
          <w:sz w:val="28"/>
          <w:szCs w:val="28"/>
        </w:rPr>
      </w:pPr>
      <w:r>
        <w:rPr>
          <w:sz w:val="28"/>
          <w:szCs w:val="28"/>
        </w:rPr>
        <w:t xml:space="preserve">Admits the allegations in the first sentence </w:t>
      </w:r>
      <w:r w:rsidR="00E518DA">
        <w:rPr>
          <w:sz w:val="28"/>
          <w:szCs w:val="28"/>
        </w:rPr>
        <w:t xml:space="preserve">in </w:t>
      </w:r>
      <w:r>
        <w:rPr>
          <w:sz w:val="28"/>
          <w:szCs w:val="28"/>
        </w:rPr>
        <w:t xml:space="preserve">paragraph 58, and further state that Pieron’s ability to have the NFA’s requests met in a timely and proper manner were limited by ILQ’s, Tanner’s, Krier’s and his own lack of possession, custody </w:t>
      </w:r>
      <w:r w:rsidR="00300658">
        <w:rPr>
          <w:sz w:val="28"/>
          <w:szCs w:val="28"/>
        </w:rPr>
        <w:t xml:space="preserve">or </w:t>
      </w:r>
      <w:r>
        <w:rPr>
          <w:sz w:val="28"/>
          <w:szCs w:val="28"/>
        </w:rPr>
        <w:t xml:space="preserve">control over </w:t>
      </w:r>
      <w:r w:rsidR="00F122E8">
        <w:rPr>
          <w:sz w:val="28"/>
          <w:szCs w:val="28"/>
        </w:rPr>
        <w:t xml:space="preserve">HMcP’s </w:t>
      </w:r>
      <w:r>
        <w:rPr>
          <w:sz w:val="28"/>
          <w:szCs w:val="28"/>
        </w:rPr>
        <w:t xml:space="preserve">financial information.  </w:t>
      </w:r>
      <w:r w:rsidR="00C63A83" w:rsidRPr="00E81D5F">
        <w:rPr>
          <w:sz w:val="28"/>
          <w:szCs w:val="28"/>
        </w:rPr>
        <w:t xml:space="preserve">Deny the allegations in the second and third sentences </w:t>
      </w:r>
      <w:r w:rsidR="00E518DA">
        <w:rPr>
          <w:sz w:val="28"/>
          <w:szCs w:val="28"/>
        </w:rPr>
        <w:t xml:space="preserve">in </w:t>
      </w:r>
      <w:r w:rsidR="00C63A83" w:rsidRPr="00E81D5F">
        <w:rPr>
          <w:sz w:val="28"/>
          <w:szCs w:val="28"/>
        </w:rPr>
        <w:t>paragraph 5</w:t>
      </w:r>
      <w:r w:rsidR="00075229" w:rsidRPr="00E81D5F">
        <w:rPr>
          <w:sz w:val="28"/>
          <w:szCs w:val="28"/>
        </w:rPr>
        <w:t>8</w:t>
      </w:r>
      <w:r w:rsidR="00961BC9" w:rsidRPr="00E81D5F">
        <w:rPr>
          <w:sz w:val="28"/>
          <w:szCs w:val="28"/>
        </w:rPr>
        <w:t>.</w:t>
      </w:r>
    </w:p>
    <w:p w:rsidR="00075229" w:rsidRDefault="00C63A83" w:rsidP="00AF0A5E">
      <w:pPr>
        <w:pStyle w:val="ListParagraph"/>
        <w:numPr>
          <w:ilvl w:val="0"/>
          <w:numId w:val="1"/>
        </w:numPr>
        <w:spacing w:line="480" w:lineRule="auto"/>
        <w:ind w:left="0" w:firstLine="720"/>
        <w:jc w:val="both"/>
        <w:rPr>
          <w:sz w:val="28"/>
          <w:szCs w:val="28"/>
        </w:rPr>
      </w:pPr>
      <w:r>
        <w:rPr>
          <w:sz w:val="28"/>
          <w:szCs w:val="28"/>
        </w:rPr>
        <w:t>Deny the allegations in paragraph 59.</w:t>
      </w:r>
    </w:p>
    <w:p w:rsidR="0056101E" w:rsidRDefault="0056101E" w:rsidP="00AF0A5E">
      <w:pPr>
        <w:contextualSpacing/>
        <w:jc w:val="both"/>
        <w:rPr>
          <w:b/>
          <w:sz w:val="28"/>
          <w:szCs w:val="28"/>
          <w:u w:val="single"/>
        </w:rPr>
      </w:pPr>
      <w:r w:rsidRPr="0056101E">
        <w:rPr>
          <w:b/>
          <w:sz w:val="28"/>
          <w:szCs w:val="28"/>
          <w:u w:val="single"/>
        </w:rPr>
        <w:t>Affirmative Defenses</w:t>
      </w:r>
    </w:p>
    <w:p w:rsidR="008F52D2" w:rsidRPr="0056101E" w:rsidRDefault="008F52D2" w:rsidP="00AF0A5E">
      <w:pPr>
        <w:contextualSpacing/>
        <w:jc w:val="both"/>
        <w:rPr>
          <w:b/>
          <w:sz w:val="28"/>
          <w:szCs w:val="28"/>
          <w:u w:val="single"/>
        </w:rPr>
      </w:pPr>
    </w:p>
    <w:p w:rsidR="0056101E" w:rsidRDefault="0056101E" w:rsidP="00AF0A5E">
      <w:pPr>
        <w:pStyle w:val="ListParagraph"/>
        <w:numPr>
          <w:ilvl w:val="0"/>
          <w:numId w:val="1"/>
        </w:numPr>
        <w:spacing w:line="480" w:lineRule="auto"/>
        <w:ind w:left="0" w:firstLine="720"/>
        <w:jc w:val="both"/>
        <w:rPr>
          <w:sz w:val="28"/>
          <w:szCs w:val="28"/>
        </w:rPr>
      </w:pPr>
      <w:r>
        <w:rPr>
          <w:sz w:val="28"/>
          <w:szCs w:val="28"/>
        </w:rPr>
        <w:t>The NFA Complaint fails to state causes of action upon which relief can be granted.</w:t>
      </w:r>
    </w:p>
    <w:p w:rsidR="00143300" w:rsidRDefault="00143300" w:rsidP="00AF0A5E">
      <w:pPr>
        <w:pStyle w:val="ListParagraph"/>
        <w:numPr>
          <w:ilvl w:val="0"/>
          <w:numId w:val="1"/>
        </w:numPr>
        <w:spacing w:after="240" w:line="480" w:lineRule="auto"/>
        <w:ind w:left="0" w:firstLine="720"/>
        <w:jc w:val="both"/>
        <w:rPr>
          <w:sz w:val="28"/>
          <w:szCs w:val="28"/>
        </w:rPr>
      </w:pPr>
      <w:r>
        <w:rPr>
          <w:sz w:val="28"/>
          <w:szCs w:val="28"/>
        </w:rPr>
        <w:t xml:space="preserve">The NFA Complaint fails to allege </w:t>
      </w:r>
      <w:r w:rsidR="00C83319">
        <w:rPr>
          <w:sz w:val="28"/>
          <w:szCs w:val="28"/>
        </w:rPr>
        <w:t xml:space="preserve">facts </w:t>
      </w:r>
      <w:r>
        <w:rPr>
          <w:sz w:val="28"/>
          <w:szCs w:val="28"/>
        </w:rPr>
        <w:t xml:space="preserve">sufficient to establish the required elements for a finding of a violation of Compliance Rule 2-5 by ILQ, Tanner and/or Krier.  </w:t>
      </w:r>
    </w:p>
    <w:p w:rsidR="00143300" w:rsidRDefault="00143300" w:rsidP="00AF0A5E">
      <w:pPr>
        <w:pStyle w:val="ListParagraph"/>
        <w:numPr>
          <w:ilvl w:val="0"/>
          <w:numId w:val="1"/>
        </w:numPr>
        <w:spacing w:after="240" w:line="480" w:lineRule="auto"/>
        <w:ind w:left="0" w:firstLine="720"/>
        <w:jc w:val="both"/>
        <w:rPr>
          <w:sz w:val="28"/>
          <w:szCs w:val="28"/>
        </w:rPr>
      </w:pPr>
      <w:r>
        <w:rPr>
          <w:sz w:val="28"/>
          <w:szCs w:val="28"/>
        </w:rPr>
        <w:lastRenderedPageBreak/>
        <w:t xml:space="preserve">The NFA Complaint fails to allege </w:t>
      </w:r>
      <w:r w:rsidR="00C83319">
        <w:rPr>
          <w:sz w:val="28"/>
          <w:szCs w:val="28"/>
        </w:rPr>
        <w:t xml:space="preserve">facts </w:t>
      </w:r>
      <w:r>
        <w:rPr>
          <w:sz w:val="28"/>
          <w:szCs w:val="28"/>
        </w:rPr>
        <w:t xml:space="preserve">sufficient to establish the required elements for a finding of a violation of Compliance Rule 2-36(e) by Pieron.  </w:t>
      </w:r>
    </w:p>
    <w:p w:rsidR="0056101E" w:rsidRPr="00D14BEF" w:rsidRDefault="00AD2F37" w:rsidP="00AF0A5E">
      <w:pPr>
        <w:pStyle w:val="ListParagraph"/>
        <w:numPr>
          <w:ilvl w:val="0"/>
          <w:numId w:val="1"/>
        </w:numPr>
        <w:spacing w:after="240" w:line="480" w:lineRule="auto"/>
        <w:ind w:left="0" w:firstLine="720"/>
        <w:jc w:val="both"/>
        <w:rPr>
          <w:sz w:val="28"/>
          <w:szCs w:val="28"/>
        </w:rPr>
      </w:pPr>
      <w:r w:rsidRPr="00D14BEF">
        <w:rPr>
          <w:sz w:val="28"/>
          <w:szCs w:val="28"/>
        </w:rPr>
        <w:t>The NFA’s own actions, including those actions alleged by it in its Complaint</w:t>
      </w:r>
      <w:r w:rsidR="008231B3">
        <w:rPr>
          <w:sz w:val="28"/>
          <w:szCs w:val="28"/>
        </w:rPr>
        <w:t xml:space="preserve"> and those to be made a matter of the record at the hearing</w:t>
      </w:r>
      <w:r w:rsidRPr="00D14BEF">
        <w:rPr>
          <w:sz w:val="28"/>
          <w:szCs w:val="28"/>
        </w:rPr>
        <w:t xml:space="preserve">, </w:t>
      </w:r>
      <w:r w:rsidR="00D14BEF" w:rsidRPr="00D14BEF">
        <w:rPr>
          <w:sz w:val="28"/>
          <w:szCs w:val="28"/>
        </w:rPr>
        <w:t>establish that there has not been a violation of Compliance Rule 2-5 by ILQ, Tanner or Krier or a violation of Compliance Rule 2-36(e) by Pieron.</w:t>
      </w:r>
    </w:p>
    <w:p w:rsidR="00857F9B" w:rsidRDefault="00C33933" w:rsidP="00AF0A5E">
      <w:pPr>
        <w:spacing w:after="240" w:line="480" w:lineRule="auto"/>
        <w:ind w:firstLine="720"/>
        <w:contextualSpacing/>
        <w:jc w:val="both"/>
        <w:rPr>
          <w:sz w:val="28"/>
          <w:szCs w:val="28"/>
        </w:rPr>
      </w:pPr>
      <w:r w:rsidRPr="00091DC4">
        <w:rPr>
          <w:b/>
          <w:sz w:val="28"/>
          <w:szCs w:val="28"/>
        </w:rPr>
        <w:t>WHEREFORE</w:t>
      </w:r>
      <w:r>
        <w:rPr>
          <w:sz w:val="28"/>
          <w:szCs w:val="28"/>
        </w:rPr>
        <w:t xml:space="preserve">, </w:t>
      </w:r>
      <w:r w:rsidR="00091DC4">
        <w:rPr>
          <w:sz w:val="28"/>
          <w:szCs w:val="28"/>
        </w:rPr>
        <w:t>ILQ respectfully requests that the NFA</w:t>
      </w:r>
      <w:r w:rsidR="006345C6">
        <w:rPr>
          <w:sz w:val="28"/>
          <w:szCs w:val="28"/>
        </w:rPr>
        <w:t xml:space="preserve"> Business Conduct Committee </w:t>
      </w:r>
      <w:r w:rsidR="0056101E">
        <w:rPr>
          <w:sz w:val="28"/>
          <w:szCs w:val="28"/>
        </w:rPr>
        <w:t xml:space="preserve">deny the relief sought and dismisses the Complaint against all </w:t>
      </w:r>
      <w:r w:rsidR="00C61AB0">
        <w:rPr>
          <w:sz w:val="28"/>
          <w:szCs w:val="28"/>
        </w:rPr>
        <w:t xml:space="preserve">of the </w:t>
      </w:r>
      <w:r w:rsidR="0056101E">
        <w:rPr>
          <w:sz w:val="28"/>
          <w:szCs w:val="28"/>
        </w:rPr>
        <w:t xml:space="preserve">respondents with prejudice.  </w:t>
      </w:r>
      <w:r w:rsidR="007C0965">
        <w:rPr>
          <w:sz w:val="28"/>
          <w:szCs w:val="28"/>
        </w:rPr>
        <w:tab/>
      </w:r>
      <w:r w:rsidR="007C0965">
        <w:rPr>
          <w:sz w:val="28"/>
          <w:szCs w:val="28"/>
        </w:rPr>
        <w:tab/>
      </w:r>
    </w:p>
    <w:p w:rsidR="007C05D6" w:rsidRDefault="0087444C" w:rsidP="00AF0A5E">
      <w:pPr>
        <w:spacing w:line="48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C05D6">
        <w:rPr>
          <w:sz w:val="28"/>
          <w:szCs w:val="28"/>
        </w:rPr>
        <w:t xml:space="preserve">Respectfully </w:t>
      </w:r>
      <w:r w:rsidR="00306F82">
        <w:rPr>
          <w:sz w:val="28"/>
          <w:szCs w:val="28"/>
        </w:rPr>
        <w:t>s</w:t>
      </w:r>
      <w:r w:rsidR="007C05D6">
        <w:rPr>
          <w:sz w:val="28"/>
          <w:szCs w:val="28"/>
        </w:rPr>
        <w:t>ubmitted,</w:t>
      </w:r>
    </w:p>
    <w:p w:rsidR="007C05D6" w:rsidRPr="00781258" w:rsidRDefault="00781258" w:rsidP="00AF0A5E">
      <w:pPr>
        <w:contextualSpacing/>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C05D6" w:rsidRPr="00AF4246" w:rsidRDefault="007C05D6" w:rsidP="00AF0A5E">
      <w:pPr>
        <w:contextualSpacing/>
        <w:rPr>
          <w:sz w:val="28"/>
          <w:szCs w:val="28"/>
          <w:u w:val="single"/>
        </w:rPr>
      </w:pPr>
      <w:r>
        <w:rPr>
          <w:sz w:val="28"/>
          <w:szCs w:val="28"/>
        </w:rPr>
        <w:tab/>
      </w:r>
      <w:r>
        <w:rPr>
          <w:sz w:val="28"/>
          <w:szCs w:val="28"/>
        </w:rPr>
        <w:tab/>
      </w:r>
      <w:r>
        <w:rPr>
          <w:sz w:val="28"/>
          <w:szCs w:val="28"/>
        </w:rPr>
        <w:tab/>
      </w:r>
      <w:r>
        <w:rPr>
          <w:sz w:val="28"/>
          <w:szCs w:val="28"/>
        </w:rPr>
        <w:tab/>
      </w:r>
      <w:r>
        <w:rPr>
          <w:sz w:val="28"/>
          <w:szCs w:val="28"/>
        </w:rPr>
        <w:tab/>
      </w:r>
      <w:r w:rsidR="001F63A6">
        <w:rPr>
          <w:sz w:val="28"/>
          <w:szCs w:val="28"/>
        </w:rPr>
        <w:tab/>
      </w:r>
      <w:r w:rsidR="00AF4246">
        <w:rPr>
          <w:sz w:val="28"/>
          <w:szCs w:val="28"/>
          <w:u w:val="single"/>
        </w:rPr>
        <w:tab/>
      </w:r>
      <w:r w:rsidR="00AF4246">
        <w:rPr>
          <w:sz w:val="28"/>
          <w:szCs w:val="28"/>
          <w:u w:val="single"/>
        </w:rPr>
        <w:tab/>
        <w:t>/s/</w:t>
      </w:r>
      <w:r w:rsidR="00AF4246">
        <w:rPr>
          <w:sz w:val="28"/>
          <w:szCs w:val="28"/>
          <w:u w:val="single"/>
        </w:rPr>
        <w:tab/>
      </w:r>
      <w:r w:rsidR="00AF4246">
        <w:rPr>
          <w:sz w:val="28"/>
          <w:szCs w:val="28"/>
          <w:u w:val="single"/>
        </w:rPr>
        <w:tab/>
      </w:r>
      <w:r w:rsidR="00AF4246">
        <w:rPr>
          <w:sz w:val="28"/>
          <w:szCs w:val="28"/>
          <w:u w:val="single"/>
        </w:rPr>
        <w:tab/>
      </w:r>
    </w:p>
    <w:p w:rsidR="007C05D6" w:rsidRDefault="007C05D6" w:rsidP="00AF0A5E">
      <w:pPr>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sidR="001F63A6">
        <w:rPr>
          <w:sz w:val="28"/>
          <w:szCs w:val="28"/>
        </w:rPr>
        <w:tab/>
      </w:r>
      <w:r>
        <w:rPr>
          <w:sz w:val="28"/>
          <w:szCs w:val="28"/>
        </w:rPr>
        <w:t>John M. Fedders</w:t>
      </w:r>
    </w:p>
    <w:p w:rsidR="007C05D6" w:rsidRDefault="007C05D6" w:rsidP="00AF0A5E">
      <w:pPr>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Law Office of John M. Fedders</w:t>
      </w:r>
    </w:p>
    <w:p w:rsidR="007C05D6" w:rsidRDefault="007C05D6" w:rsidP="00AF0A5E">
      <w:pPr>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1914 Sunderland Place, N.W.</w:t>
      </w:r>
    </w:p>
    <w:p w:rsidR="007C05D6" w:rsidRDefault="007C05D6" w:rsidP="00AF0A5E">
      <w:pPr>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Washington, D.C. 20036</w:t>
      </w:r>
    </w:p>
    <w:p w:rsidR="007C05D6" w:rsidRDefault="007C05D6" w:rsidP="00AF0A5E">
      <w:pPr>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Tel. No. 202-659-2424</w:t>
      </w:r>
    </w:p>
    <w:p w:rsidR="007C05D6" w:rsidRDefault="007C05D6" w:rsidP="00AF0A5E">
      <w:pPr>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jfedders@</w:t>
      </w:r>
      <w:r w:rsidR="009508CC">
        <w:rPr>
          <w:sz w:val="28"/>
          <w:szCs w:val="28"/>
        </w:rPr>
        <w:t>gmail.com</w:t>
      </w:r>
    </w:p>
    <w:p w:rsidR="007C05D6" w:rsidRPr="0054749F" w:rsidRDefault="007C05D6" w:rsidP="00AF0A5E">
      <w:pPr>
        <w:contextualSpacing/>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 xml:space="preserve">Counsel for </w:t>
      </w:r>
      <w:r w:rsidR="001F63A6">
        <w:rPr>
          <w:b/>
          <w:sz w:val="28"/>
          <w:szCs w:val="28"/>
        </w:rPr>
        <w:t>Institutional Liquidity LLC</w:t>
      </w:r>
    </w:p>
    <w:p w:rsidR="00306F82" w:rsidRDefault="004B7713" w:rsidP="00AF0A5E">
      <w:pPr>
        <w:spacing w:line="480" w:lineRule="auto"/>
        <w:contextualSpacing/>
        <w:rPr>
          <w:sz w:val="28"/>
          <w:szCs w:val="28"/>
        </w:rPr>
      </w:pPr>
      <w:r>
        <w:rPr>
          <w:sz w:val="28"/>
          <w:szCs w:val="28"/>
        </w:rPr>
        <w:t>February</w:t>
      </w:r>
      <w:r w:rsidR="009508CC">
        <w:rPr>
          <w:sz w:val="28"/>
          <w:szCs w:val="28"/>
        </w:rPr>
        <w:t xml:space="preserve"> 1</w:t>
      </w:r>
      <w:r w:rsidR="001A6E3F">
        <w:rPr>
          <w:sz w:val="28"/>
          <w:szCs w:val="28"/>
        </w:rPr>
        <w:t>8</w:t>
      </w:r>
      <w:r>
        <w:rPr>
          <w:sz w:val="28"/>
          <w:szCs w:val="28"/>
        </w:rPr>
        <w:t>, 2014</w:t>
      </w:r>
    </w:p>
    <w:p w:rsidR="007C05D6" w:rsidRPr="006C63C8" w:rsidRDefault="007C05D6" w:rsidP="00AF0A5E">
      <w:pPr>
        <w:contextualSpacing/>
        <w:jc w:val="center"/>
        <w:rPr>
          <w:sz w:val="28"/>
          <w:szCs w:val="28"/>
        </w:rPr>
      </w:pPr>
      <w:r w:rsidRPr="006C63C8">
        <w:rPr>
          <w:b/>
          <w:sz w:val="28"/>
          <w:szCs w:val="28"/>
          <w:u w:val="single"/>
        </w:rPr>
        <w:t>Certificate of Service</w:t>
      </w:r>
    </w:p>
    <w:p w:rsidR="00857F9B" w:rsidRPr="006C63C8" w:rsidRDefault="00857F9B" w:rsidP="00AF0A5E">
      <w:pPr>
        <w:contextualSpacing/>
        <w:rPr>
          <w:sz w:val="28"/>
          <w:szCs w:val="28"/>
        </w:rPr>
      </w:pPr>
    </w:p>
    <w:p w:rsidR="007C05D6" w:rsidRPr="006C63C8" w:rsidRDefault="007C05D6" w:rsidP="00AF0A5E">
      <w:pPr>
        <w:contextualSpacing/>
        <w:jc w:val="both"/>
        <w:rPr>
          <w:sz w:val="28"/>
          <w:szCs w:val="28"/>
        </w:rPr>
      </w:pPr>
      <w:r w:rsidRPr="006C63C8">
        <w:rPr>
          <w:sz w:val="28"/>
          <w:szCs w:val="28"/>
        </w:rPr>
        <w:tab/>
        <w:t xml:space="preserve">I, John M. Fedders, counsel for </w:t>
      </w:r>
      <w:r w:rsidR="001F63A6" w:rsidRPr="006C63C8">
        <w:rPr>
          <w:sz w:val="28"/>
          <w:szCs w:val="28"/>
        </w:rPr>
        <w:t>Institutional Liquidity LLC</w:t>
      </w:r>
      <w:r w:rsidRPr="006C63C8">
        <w:rPr>
          <w:sz w:val="28"/>
          <w:szCs w:val="28"/>
        </w:rPr>
        <w:t xml:space="preserve">, hereby certify that </w:t>
      </w:r>
      <w:r w:rsidR="001F63A6" w:rsidRPr="006C63C8">
        <w:rPr>
          <w:sz w:val="28"/>
          <w:szCs w:val="28"/>
        </w:rPr>
        <w:t>on</w:t>
      </w:r>
      <w:r w:rsidR="004B7713" w:rsidRPr="006C63C8">
        <w:rPr>
          <w:sz w:val="28"/>
          <w:szCs w:val="28"/>
        </w:rPr>
        <w:t xml:space="preserve"> February </w:t>
      </w:r>
      <w:r w:rsidR="00A92B06">
        <w:rPr>
          <w:sz w:val="28"/>
          <w:szCs w:val="28"/>
        </w:rPr>
        <w:t>1</w:t>
      </w:r>
      <w:r w:rsidR="001A6E3F">
        <w:rPr>
          <w:sz w:val="28"/>
          <w:szCs w:val="28"/>
        </w:rPr>
        <w:t>8</w:t>
      </w:r>
      <w:r w:rsidR="004B7713" w:rsidRPr="006C63C8">
        <w:rPr>
          <w:sz w:val="28"/>
          <w:szCs w:val="28"/>
        </w:rPr>
        <w:t>, 2014</w:t>
      </w:r>
      <w:r w:rsidRPr="006C63C8">
        <w:rPr>
          <w:sz w:val="28"/>
          <w:szCs w:val="28"/>
        </w:rPr>
        <w:t xml:space="preserve">, true and correct copies of the foregoing </w:t>
      </w:r>
      <w:r w:rsidR="00306F82" w:rsidRPr="006C63C8">
        <w:rPr>
          <w:b/>
          <w:sz w:val="28"/>
          <w:szCs w:val="28"/>
        </w:rPr>
        <w:t>I</w:t>
      </w:r>
      <w:r w:rsidR="00A92B06">
        <w:rPr>
          <w:b/>
          <w:sz w:val="28"/>
          <w:szCs w:val="28"/>
        </w:rPr>
        <w:t xml:space="preserve">nstitutional Liquidity LLC’s </w:t>
      </w:r>
      <w:r w:rsidRPr="006C63C8">
        <w:rPr>
          <w:b/>
          <w:sz w:val="28"/>
          <w:szCs w:val="28"/>
        </w:rPr>
        <w:t>Answer</w:t>
      </w:r>
      <w:r w:rsidR="001F63A6" w:rsidRPr="006C63C8">
        <w:rPr>
          <w:b/>
          <w:sz w:val="28"/>
          <w:szCs w:val="28"/>
        </w:rPr>
        <w:t xml:space="preserve"> to NFA’s Complaint</w:t>
      </w:r>
      <w:r w:rsidR="00282A8D" w:rsidRPr="006C63C8">
        <w:rPr>
          <w:b/>
          <w:sz w:val="28"/>
          <w:szCs w:val="28"/>
        </w:rPr>
        <w:t xml:space="preserve"> </w:t>
      </w:r>
      <w:r w:rsidR="004B7713" w:rsidRPr="006C63C8">
        <w:rPr>
          <w:b/>
          <w:sz w:val="28"/>
          <w:szCs w:val="28"/>
        </w:rPr>
        <w:t>filed January 13, 2014</w:t>
      </w:r>
      <w:r w:rsidRPr="006C63C8">
        <w:rPr>
          <w:b/>
          <w:sz w:val="28"/>
          <w:szCs w:val="28"/>
        </w:rPr>
        <w:t xml:space="preserve">, </w:t>
      </w:r>
      <w:r w:rsidRPr="006C63C8">
        <w:rPr>
          <w:sz w:val="28"/>
          <w:szCs w:val="28"/>
        </w:rPr>
        <w:t xml:space="preserve">were </w:t>
      </w:r>
      <w:r w:rsidRPr="006C63C8">
        <w:rPr>
          <w:sz w:val="28"/>
          <w:szCs w:val="28"/>
        </w:rPr>
        <w:lastRenderedPageBreak/>
        <w:t xml:space="preserve">served upon the following via Federal Express overnight delivery service for priority delivery on </w:t>
      </w:r>
      <w:r w:rsidR="006C63C8">
        <w:rPr>
          <w:sz w:val="28"/>
          <w:szCs w:val="28"/>
        </w:rPr>
        <w:t xml:space="preserve">February </w:t>
      </w:r>
      <w:r w:rsidR="00A92B06">
        <w:rPr>
          <w:sz w:val="28"/>
          <w:szCs w:val="28"/>
        </w:rPr>
        <w:t>1</w:t>
      </w:r>
      <w:r w:rsidR="001A6E3F">
        <w:rPr>
          <w:sz w:val="28"/>
          <w:szCs w:val="28"/>
        </w:rPr>
        <w:t>9</w:t>
      </w:r>
      <w:r w:rsidR="006C63C8">
        <w:rPr>
          <w:sz w:val="28"/>
          <w:szCs w:val="28"/>
        </w:rPr>
        <w:t>, 2014</w:t>
      </w:r>
      <w:r w:rsidRPr="006C63C8">
        <w:rPr>
          <w:sz w:val="28"/>
          <w:szCs w:val="28"/>
        </w:rPr>
        <w:t>.</w:t>
      </w:r>
    </w:p>
    <w:p w:rsidR="00944B44" w:rsidRPr="006C63C8" w:rsidRDefault="00944B44" w:rsidP="00AF0A5E">
      <w:pPr>
        <w:contextualSpacing/>
        <w:rPr>
          <w:sz w:val="28"/>
          <w:szCs w:val="28"/>
        </w:rPr>
      </w:pPr>
    </w:p>
    <w:p w:rsidR="00D338C9" w:rsidRPr="006C63C8" w:rsidRDefault="00D338C9" w:rsidP="00AF0A5E">
      <w:pPr>
        <w:contextualSpacing/>
        <w:rPr>
          <w:sz w:val="28"/>
          <w:szCs w:val="28"/>
        </w:rPr>
      </w:pPr>
      <w:r w:rsidRPr="006C63C8">
        <w:rPr>
          <w:sz w:val="28"/>
          <w:szCs w:val="28"/>
        </w:rPr>
        <w:t>Legal Department - Docketing</w:t>
      </w:r>
    </w:p>
    <w:p w:rsidR="00D338C9" w:rsidRPr="006C63C8" w:rsidRDefault="00D338C9" w:rsidP="00AF0A5E">
      <w:pPr>
        <w:contextualSpacing/>
        <w:rPr>
          <w:sz w:val="28"/>
          <w:szCs w:val="28"/>
        </w:rPr>
      </w:pPr>
      <w:r w:rsidRPr="006C63C8">
        <w:rPr>
          <w:sz w:val="28"/>
          <w:szCs w:val="28"/>
        </w:rPr>
        <w:t>National Futures Association</w:t>
      </w:r>
    </w:p>
    <w:p w:rsidR="00DF5A96" w:rsidRPr="006C63C8" w:rsidRDefault="00DF5A96" w:rsidP="00AF0A5E">
      <w:pPr>
        <w:contextualSpacing/>
        <w:rPr>
          <w:sz w:val="28"/>
          <w:szCs w:val="28"/>
        </w:rPr>
      </w:pPr>
      <w:r w:rsidRPr="006C63C8">
        <w:rPr>
          <w:sz w:val="28"/>
          <w:szCs w:val="28"/>
        </w:rPr>
        <w:t>Suite 1800</w:t>
      </w:r>
    </w:p>
    <w:p w:rsidR="00D338C9" w:rsidRPr="006C63C8" w:rsidRDefault="00C43CB4" w:rsidP="00AF0A5E">
      <w:pPr>
        <w:contextualSpacing/>
        <w:rPr>
          <w:sz w:val="28"/>
          <w:szCs w:val="28"/>
        </w:rPr>
      </w:pPr>
      <w:r w:rsidRPr="006C63C8">
        <w:rPr>
          <w:sz w:val="28"/>
          <w:szCs w:val="28"/>
        </w:rPr>
        <w:t xml:space="preserve">300 </w:t>
      </w:r>
      <w:r w:rsidR="00D338C9" w:rsidRPr="006C63C8">
        <w:rPr>
          <w:sz w:val="28"/>
          <w:szCs w:val="28"/>
        </w:rPr>
        <w:t>South Riverside Plaza</w:t>
      </w:r>
    </w:p>
    <w:p w:rsidR="00D338C9" w:rsidRPr="006C63C8" w:rsidRDefault="00D338C9" w:rsidP="00AF0A5E">
      <w:pPr>
        <w:contextualSpacing/>
        <w:rPr>
          <w:sz w:val="28"/>
          <w:szCs w:val="28"/>
        </w:rPr>
      </w:pPr>
      <w:r w:rsidRPr="006C63C8">
        <w:rPr>
          <w:sz w:val="28"/>
          <w:szCs w:val="28"/>
        </w:rPr>
        <w:t>Chicago, Illinois  60606</w:t>
      </w:r>
    </w:p>
    <w:p w:rsidR="00C61AB0" w:rsidRPr="006C63C8" w:rsidRDefault="00C61AB0" w:rsidP="00AF0A5E">
      <w:pPr>
        <w:contextualSpacing/>
        <w:rPr>
          <w:sz w:val="28"/>
          <w:szCs w:val="28"/>
        </w:rPr>
      </w:pPr>
    </w:p>
    <w:p w:rsidR="007F21C3" w:rsidRPr="006C63C8" w:rsidRDefault="006C63C8" w:rsidP="00AF0A5E">
      <w:pPr>
        <w:contextualSpacing/>
        <w:rPr>
          <w:sz w:val="28"/>
          <w:szCs w:val="28"/>
        </w:rPr>
      </w:pPr>
      <w:r>
        <w:rPr>
          <w:sz w:val="28"/>
          <w:szCs w:val="28"/>
        </w:rPr>
        <w:t>Cynthia Cain</w:t>
      </w:r>
      <w:r w:rsidR="00A92B06">
        <w:rPr>
          <w:sz w:val="28"/>
          <w:szCs w:val="28"/>
        </w:rPr>
        <w:t xml:space="preserve"> Ioannacci</w:t>
      </w:r>
      <w:r>
        <w:rPr>
          <w:sz w:val="28"/>
          <w:szCs w:val="28"/>
        </w:rPr>
        <w:t>, Esq.</w:t>
      </w:r>
    </w:p>
    <w:p w:rsidR="00D338C9" w:rsidRPr="006C63C8" w:rsidRDefault="00E34C87" w:rsidP="00AF0A5E">
      <w:pPr>
        <w:contextualSpacing/>
        <w:rPr>
          <w:sz w:val="28"/>
          <w:szCs w:val="28"/>
        </w:rPr>
      </w:pPr>
      <w:r w:rsidRPr="006C63C8">
        <w:rPr>
          <w:sz w:val="28"/>
          <w:szCs w:val="28"/>
        </w:rPr>
        <w:t>Legal Department</w:t>
      </w:r>
    </w:p>
    <w:p w:rsidR="00D338C9" w:rsidRPr="006C63C8" w:rsidRDefault="00D338C9" w:rsidP="00AF0A5E">
      <w:pPr>
        <w:contextualSpacing/>
        <w:rPr>
          <w:sz w:val="28"/>
          <w:szCs w:val="28"/>
        </w:rPr>
      </w:pPr>
      <w:r w:rsidRPr="006C63C8">
        <w:rPr>
          <w:sz w:val="28"/>
          <w:szCs w:val="28"/>
        </w:rPr>
        <w:t>National Futures Association</w:t>
      </w:r>
    </w:p>
    <w:p w:rsidR="00DF5A96" w:rsidRPr="006C63C8" w:rsidRDefault="00DF5A96" w:rsidP="00AF0A5E">
      <w:pPr>
        <w:contextualSpacing/>
        <w:rPr>
          <w:sz w:val="28"/>
          <w:szCs w:val="28"/>
        </w:rPr>
      </w:pPr>
      <w:r w:rsidRPr="006C63C8">
        <w:rPr>
          <w:sz w:val="28"/>
          <w:szCs w:val="28"/>
        </w:rPr>
        <w:t>Suite 1800</w:t>
      </w:r>
    </w:p>
    <w:p w:rsidR="00D338C9" w:rsidRPr="006C63C8" w:rsidRDefault="00D338C9" w:rsidP="00AF0A5E">
      <w:pPr>
        <w:contextualSpacing/>
        <w:rPr>
          <w:sz w:val="28"/>
          <w:szCs w:val="28"/>
        </w:rPr>
      </w:pPr>
      <w:r w:rsidRPr="006C63C8">
        <w:rPr>
          <w:sz w:val="28"/>
          <w:szCs w:val="28"/>
        </w:rPr>
        <w:t>300 South Riverside Plaza</w:t>
      </w:r>
    </w:p>
    <w:p w:rsidR="001F63A6" w:rsidRDefault="00D338C9" w:rsidP="00AF0A5E">
      <w:pPr>
        <w:contextualSpacing/>
        <w:rPr>
          <w:sz w:val="28"/>
          <w:szCs w:val="28"/>
        </w:rPr>
      </w:pPr>
      <w:r w:rsidRPr="006C63C8">
        <w:rPr>
          <w:sz w:val="28"/>
          <w:szCs w:val="28"/>
        </w:rPr>
        <w:t>Chicago, Illinois  60606</w:t>
      </w:r>
    </w:p>
    <w:p w:rsidR="003A5B23" w:rsidRDefault="003A5B23" w:rsidP="00AF0A5E">
      <w:pPr>
        <w:contextualSpacing/>
        <w:rPr>
          <w:sz w:val="28"/>
          <w:szCs w:val="28"/>
        </w:rPr>
      </w:pPr>
    </w:p>
    <w:p w:rsidR="003A5B23" w:rsidRDefault="003A5B23" w:rsidP="00AF0A5E">
      <w:pPr>
        <w:contextualSpacing/>
        <w:rPr>
          <w:sz w:val="28"/>
          <w:szCs w:val="28"/>
        </w:rPr>
      </w:pPr>
      <w:r>
        <w:rPr>
          <w:sz w:val="28"/>
          <w:szCs w:val="28"/>
        </w:rPr>
        <w:t>and were served upon the following by personal delivery on February 1</w:t>
      </w:r>
      <w:r w:rsidR="001A6E3F">
        <w:rPr>
          <w:sz w:val="28"/>
          <w:szCs w:val="28"/>
        </w:rPr>
        <w:t>9</w:t>
      </w:r>
      <w:r>
        <w:rPr>
          <w:sz w:val="28"/>
          <w:szCs w:val="28"/>
        </w:rPr>
        <w:t>, 2014:</w:t>
      </w:r>
    </w:p>
    <w:p w:rsidR="006C63C8" w:rsidRDefault="006C63C8" w:rsidP="00AF0A5E">
      <w:pPr>
        <w:contextualSpacing/>
        <w:rPr>
          <w:sz w:val="28"/>
          <w:szCs w:val="28"/>
        </w:rPr>
      </w:pPr>
    </w:p>
    <w:p w:rsidR="006C63C8" w:rsidRDefault="006C63C8" w:rsidP="00AF0A5E">
      <w:pPr>
        <w:contextualSpacing/>
        <w:rPr>
          <w:sz w:val="28"/>
          <w:szCs w:val="28"/>
        </w:rPr>
      </w:pPr>
      <w:r>
        <w:rPr>
          <w:sz w:val="28"/>
          <w:szCs w:val="28"/>
        </w:rPr>
        <w:t>Mark D. Krier</w:t>
      </w:r>
    </w:p>
    <w:p w:rsidR="006C63C8" w:rsidRDefault="006C63C8" w:rsidP="00AF0A5E">
      <w:pPr>
        <w:contextualSpacing/>
        <w:rPr>
          <w:sz w:val="28"/>
          <w:szCs w:val="28"/>
        </w:rPr>
      </w:pPr>
      <w:r>
        <w:rPr>
          <w:sz w:val="28"/>
          <w:szCs w:val="28"/>
        </w:rPr>
        <w:t>c/o Institutional Liquidity LLC</w:t>
      </w:r>
    </w:p>
    <w:p w:rsidR="006C63C8" w:rsidRDefault="006C63C8" w:rsidP="00AF0A5E">
      <w:pPr>
        <w:contextualSpacing/>
        <w:rPr>
          <w:sz w:val="28"/>
          <w:szCs w:val="28"/>
        </w:rPr>
      </w:pPr>
      <w:r>
        <w:rPr>
          <w:sz w:val="28"/>
          <w:szCs w:val="28"/>
        </w:rPr>
        <w:t xml:space="preserve">Suite 120 </w:t>
      </w:r>
    </w:p>
    <w:p w:rsidR="006C63C8" w:rsidRDefault="006C63C8" w:rsidP="00AF0A5E">
      <w:pPr>
        <w:contextualSpacing/>
        <w:rPr>
          <w:sz w:val="28"/>
          <w:szCs w:val="28"/>
        </w:rPr>
      </w:pPr>
      <w:r>
        <w:rPr>
          <w:sz w:val="28"/>
          <w:szCs w:val="28"/>
        </w:rPr>
        <w:t>3777 Sparks Drive, S.E.</w:t>
      </w:r>
    </w:p>
    <w:p w:rsidR="006C63C8" w:rsidRDefault="006C63C8" w:rsidP="00AF0A5E">
      <w:pPr>
        <w:contextualSpacing/>
        <w:rPr>
          <w:sz w:val="28"/>
          <w:szCs w:val="28"/>
        </w:rPr>
      </w:pPr>
      <w:r>
        <w:rPr>
          <w:sz w:val="28"/>
          <w:szCs w:val="28"/>
        </w:rPr>
        <w:t>Grand Rapids, MI  49546</w:t>
      </w:r>
    </w:p>
    <w:p w:rsidR="006C63C8" w:rsidRDefault="006C63C8" w:rsidP="00AF0A5E">
      <w:pPr>
        <w:contextualSpacing/>
        <w:rPr>
          <w:sz w:val="28"/>
          <w:szCs w:val="28"/>
        </w:rPr>
      </w:pPr>
    </w:p>
    <w:p w:rsidR="006C63C8" w:rsidRDefault="006C63C8" w:rsidP="00AF0A5E">
      <w:pPr>
        <w:contextualSpacing/>
        <w:rPr>
          <w:sz w:val="28"/>
          <w:szCs w:val="28"/>
        </w:rPr>
      </w:pPr>
      <w:r>
        <w:rPr>
          <w:sz w:val="28"/>
          <w:szCs w:val="28"/>
        </w:rPr>
        <w:t>Jason L. Tanner</w:t>
      </w:r>
    </w:p>
    <w:p w:rsidR="006C63C8" w:rsidRDefault="006C63C8" w:rsidP="00AF0A5E">
      <w:pPr>
        <w:contextualSpacing/>
        <w:rPr>
          <w:sz w:val="28"/>
          <w:szCs w:val="28"/>
        </w:rPr>
      </w:pPr>
      <w:r>
        <w:rPr>
          <w:sz w:val="28"/>
          <w:szCs w:val="28"/>
        </w:rPr>
        <w:t>c/o Institutional Liquidity LLC</w:t>
      </w:r>
    </w:p>
    <w:p w:rsidR="006C63C8" w:rsidRDefault="006C63C8" w:rsidP="00AF0A5E">
      <w:pPr>
        <w:contextualSpacing/>
        <w:rPr>
          <w:sz w:val="28"/>
          <w:szCs w:val="28"/>
        </w:rPr>
      </w:pPr>
      <w:r>
        <w:rPr>
          <w:sz w:val="28"/>
          <w:szCs w:val="28"/>
        </w:rPr>
        <w:t xml:space="preserve">Suite 120 </w:t>
      </w:r>
    </w:p>
    <w:p w:rsidR="006C63C8" w:rsidRDefault="006C63C8" w:rsidP="00AF0A5E">
      <w:pPr>
        <w:contextualSpacing/>
        <w:rPr>
          <w:sz w:val="28"/>
          <w:szCs w:val="28"/>
        </w:rPr>
      </w:pPr>
      <w:r>
        <w:rPr>
          <w:sz w:val="28"/>
          <w:szCs w:val="28"/>
        </w:rPr>
        <w:t>3777 Sparks Drive, S.E.</w:t>
      </w:r>
    </w:p>
    <w:p w:rsidR="006C63C8" w:rsidRDefault="006C63C8" w:rsidP="00AF0A5E">
      <w:pPr>
        <w:contextualSpacing/>
        <w:rPr>
          <w:sz w:val="28"/>
          <w:szCs w:val="28"/>
        </w:rPr>
      </w:pPr>
      <w:r>
        <w:rPr>
          <w:sz w:val="28"/>
          <w:szCs w:val="28"/>
        </w:rPr>
        <w:t>Grand Rapids, MI  49546</w:t>
      </w:r>
    </w:p>
    <w:p w:rsidR="006C63C8" w:rsidRDefault="006C63C8" w:rsidP="00AF0A5E">
      <w:pPr>
        <w:contextualSpacing/>
        <w:rPr>
          <w:sz w:val="28"/>
          <w:szCs w:val="28"/>
        </w:rPr>
      </w:pPr>
    </w:p>
    <w:p w:rsidR="006C63C8" w:rsidRDefault="006C63C8" w:rsidP="00AF0A5E">
      <w:pPr>
        <w:contextualSpacing/>
        <w:rPr>
          <w:sz w:val="28"/>
          <w:szCs w:val="28"/>
        </w:rPr>
      </w:pPr>
      <w:r>
        <w:rPr>
          <w:sz w:val="28"/>
          <w:szCs w:val="28"/>
        </w:rPr>
        <w:t>James D. Pieron</w:t>
      </w:r>
    </w:p>
    <w:p w:rsidR="006C63C8" w:rsidRDefault="006C63C8" w:rsidP="00AF0A5E">
      <w:pPr>
        <w:contextualSpacing/>
        <w:rPr>
          <w:sz w:val="28"/>
          <w:szCs w:val="28"/>
        </w:rPr>
      </w:pPr>
      <w:r>
        <w:rPr>
          <w:sz w:val="28"/>
          <w:szCs w:val="28"/>
        </w:rPr>
        <w:t>c/o Institutional Liquidity LLC</w:t>
      </w:r>
    </w:p>
    <w:p w:rsidR="006C63C8" w:rsidRDefault="006C63C8" w:rsidP="00AF0A5E">
      <w:pPr>
        <w:contextualSpacing/>
        <w:rPr>
          <w:sz w:val="28"/>
          <w:szCs w:val="28"/>
        </w:rPr>
      </w:pPr>
      <w:r>
        <w:rPr>
          <w:sz w:val="28"/>
          <w:szCs w:val="28"/>
        </w:rPr>
        <w:t xml:space="preserve">Suite 120 </w:t>
      </w:r>
    </w:p>
    <w:p w:rsidR="006C63C8" w:rsidRDefault="006C63C8" w:rsidP="00AF0A5E">
      <w:pPr>
        <w:contextualSpacing/>
        <w:rPr>
          <w:sz w:val="28"/>
          <w:szCs w:val="28"/>
        </w:rPr>
      </w:pPr>
      <w:r>
        <w:rPr>
          <w:sz w:val="28"/>
          <w:szCs w:val="28"/>
        </w:rPr>
        <w:t>3777 Sparks Drive, S.E.</w:t>
      </w:r>
    </w:p>
    <w:p w:rsidR="006C63C8" w:rsidRDefault="006C63C8" w:rsidP="00AF0A5E">
      <w:pPr>
        <w:contextualSpacing/>
        <w:rPr>
          <w:sz w:val="28"/>
          <w:szCs w:val="28"/>
        </w:rPr>
      </w:pPr>
      <w:r>
        <w:rPr>
          <w:sz w:val="28"/>
          <w:szCs w:val="28"/>
        </w:rPr>
        <w:t>Grand Rapids, MI  49546</w:t>
      </w:r>
      <w:r w:rsidR="00781258">
        <w:rPr>
          <w:sz w:val="28"/>
          <w:szCs w:val="28"/>
        </w:rPr>
        <w:tab/>
      </w:r>
      <w:r w:rsidR="00781258">
        <w:rPr>
          <w:sz w:val="28"/>
          <w:szCs w:val="28"/>
        </w:rPr>
        <w:tab/>
      </w:r>
      <w:r w:rsidR="00781258">
        <w:rPr>
          <w:sz w:val="28"/>
          <w:szCs w:val="28"/>
        </w:rPr>
        <w:tab/>
      </w:r>
      <w:r w:rsidR="00781258">
        <w:rPr>
          <w:sz w:val="28"/>
          <w:szCs w:val="28"/>
        </w:rPr>
        <w:tab/>
      </w:r>
      <w:r w:rsidR="00781258">
        <w:rPr>
          <w:sz w:val="28"/>
          <w:szCs w:val="28"/>
        </w:rPr>
        <w:tab/>
      </w:r>
      <w:r w:rsidR="00781258">
        <w:rPr>
          <w:sz w:val="28"/>
          <w:szCs w:val="28"/>
        </w:rPr>
        <w:tab/>
      </w:r>
    </w:p>
    <w:p w:rsidR="007C05D6" w:rsidRPr="006C63C8" w:rsidRDefault="007C05D6" w:rsidP="00AF0A5E">
      <w:pPr>
        <w:contextualSpacing/>
        <w:jc w:val="both"/>
        <w:rPr>
          <w:sz w:val="28"/>
          <w:szCs w:val="28"/>
        </w:rPr>
      </w:pP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00823465" w:rsidRPr="006C63C8">
        <w:rPr>
          <w:sz w:val="28"/>
          <w:szCs w:val="28"/>
        </w:rPr>
        <w:tab/>
      </w:r>
      <w:r w:rsidRPr="006C63C8">
        <w:rPr>
          <w:sz w:val="28"/>
          <w:szCs w:val="28"/>
          <w:u w:val="single"/>
        </w:rPr>
        <w:tab/>
      </w:r>
      <w:r w:rsidR="004010A2">
        <w:rPr>
          <w:sz w:val="28"/>
          <w:szCs w:val="28"/>
          <w:u w:val="single"/>
        </w:rPr>
        <w:tab/>
      </w:r>
      <w:r w:rsidR="00AF4246">
        <w:rPr>
          <w:sz w:val="28"/>
          <w:szCs w:val="28"/>
          <w:u w:val="single"/>
        </w:rPr>
        <w:t>/s/</w:t>
      </w:r>
      <w:bookmarkStart w:id="0" w:name="_GoBack"/>
      <w:bookmarkEnd w:id="0"/>
      <w:r w:rsidRPr="006C63C8">
        <w:rPr>
          <w:sz w:val="28"/>
          <w:szCs w:val="28"/>
          <w:u w:val="single"/>
        </w:rPr>
        <w:tab/>
      </w:r>
      <w:r w:rsidR="0031521D">
        <w:rPr>
          <w:sz w:val="28"/>
          <w:szCs w:val="28"/>
          <w:u w:val="single"/>
        </w:rPr>
        <w:tab/>
      </w:r>
      <w:r w:rsidRPr="006C63C8">
        <w:rPr>
          <w:sz w:val="28"/>
          <w:szCs w:val="28"/>
          <w:u w:val="single"/>
        </w:rPr>
        <w:tab/>
      </w:r>
    </w:p>
    <w:p w:rsidR="00BE5710" w:rsidRPr="00774750" w:rsidRDefault="007C05D6" w:rsidP="00AF0A5E">
      <w:pPr>
        <w:contextualSpacing/>
        <w:rPr>
          <w:b/>
        </w:rPr>
      </w:pP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Pr="006C63C8">
        <w:rPr>
          <w:sz w:val="28"/>
          <w:szCs w:val="28"/>
        </w:rPr>
        <w:tab/>
      </w:r>
      <w:r w:rsidR="00823465" w:rsidRPr="006C63C8">
        <w:rPr>
          <w:sz w:val="28"/>
          <w:szCs w:val="28"/>
        </w:rPr>
        <w:tab/>
      </w:r>
      <w:r w:rsidRPr="006C63C8">
        <w:rPr>
          <w:sz w:val="28"/>
          <w:szCs w:val="28"/>
        </w:rPr>
        <w:tab/>
        <w:t xml:space="preserve">    </w:t>
      </w:r>
      <w:r w:rsidR="00066D92">
        <w:rPr>
          <w:sz w:val="28"/>
          <w:szCs w:val="28"/>
        </w:rPr>
        <w:tab/>
      </w:r>
      <w:r w:rsidRPr="006C63C8">
        <w:rPr>
          <w:sz w:val="28"/>
          <w:szCs w:val="28"/>
        </w:rPr>
        <w:t xml:space="preserve">  John M. </w:t>
      </w:r>
      <w:proofErr w:type="spellStart"/>
      <w:r w:rsidRPr="006C63C8">
        <w:rPr>
          <w:sz w:val="28"/>
          <w:szCs w:val="28"/>
        </w:rPr>
        <w:t>Fedders</w:t>
      </w:r>
      <w:proofErr w:type="spellEnd"/>
      <w:r w:rsidR="00BE5710" w:rsidRPr="00774750">
        <w:rPr>
          <w:sz w:val="28"/>
          <w:szCs w:val="28"/>
        </w:rPr>
        <w:t xml:space="preserve"> </w:t>
      </w:r>
    </w:p>
    <w:p w:rsidR="00710EBE" w:rsidRDefault="00710EBE" w:rsidP="00AF0A5E">
      <w:pPr>
        <w:pStyle w:val="ListParagraph"/>
        <w:spacing w:after="240"/>
        <w:rPr>
          <w:sz w:val="28"/>
          <w:szCs w:val="28"/>
        </w:rPr>
      </w:pPr>
    </w:p>
    <w:sectPr w:rsidR="00710EBE" w:rsidSect="006375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FD" w:rsidRDefault="00A30BFD" w:rsidP="007703E9">
      <w:r>
        <w:separator/>
      </w:r>
    </w:p>
  </w:endnote>
  <w:endnote w:type="continuationSeparator" w:id="0">
    <w:p w:rsidR="00A30BFD" w:rsidRDefault="00A30BFD" w:rsidP="0077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170065"/>
      <w:docPartObj>
        <w:docPartGallery w:val="Page Numbers (Bottom of Page)"/>
        <w:docPartUnique/>
      </w:docPartObj>
    </w:sdtPr>
    <w:sdtEndPr>
      <w:rPr>
        <w:noProof/>
        <w:sz w:val="28"/>
        <w:szCs w:val="28"/>
      </w:rPr>
    </w:sdtEndPr>
    <w:sdtContent>
      <w:p w:rsidR="007703E9" w:rsidRPr="00CD0FC4" w:rsidRDefault="007703E9">
        <w:pPr>
          <w:pStyle w:val="Footer"/>
          <w:jc w:val="center"/>
          <w:rPr>
            <w:sz w:val="28"/>
            <w:szCs w:val="28"/>
          </w:rPr>
        </w:pPr>
        <w:r w:rsidRPr="00CD0FC4">
          <w:rPr>
            <w:sz w:val="28"/>
            <w:szCs w:val="28"/>
          </w:rPr>
          <w:fldChar w:fldCharType="begin"/>
        </w:r>
        <w:r w:rsidRPr="00CD0FC4">
          <w:rPr>
            <w:sz w:val="28"/>
            <w:szCs w:val="28"/>
          </w:rPr>
          <w:instrText xml:space="preserve"> PAGE   \* MERGEFORMAT </w:instrText>
        </w:r>
        <w:r w:rsidRPr="00CD0FC4">
          <w:rPr>
            <w:sz w:val="28"/>
            <w:szCs w:val="28"/>
          </w:rPr>
          <w:fldChar w:fldCharType="separate"/>
        </w:r>
        <w:r w:rsidR="004010A2">
          <w:rPr>
            <w:noProof/>
            <w:sz w:val="28"/>
            <w:szCs w:val="28"/>
          </w:rPr>
          <w:t>24</w:t>
        </w:r>
        <w:r w:rsidRPr="00CD0FC4">
          <w:rPr>
            <w:noProof/>
            <w:sz w:val="28"/>
            <w:szCs w:val="28"/>
          </w:rPr>
          <w:fldChar w:fldCharType="end"/>
        </w:r>
      </w:p>
    </w:sdtContent>
  </w:sdt>
  <w:p w:rsidR="007703E9" w:rsidRDefault="00770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FD" w:rsidRDefault="00A30BFD" w:rsidP="007703E9">
      <w:r>
        <w:separator/>
      </w:r>
    </w:p>
  </w:footnote>
  <w:footnote w:type="continuationSeparator" w:id="0">
    <w:p w:rsidR="00A30BFD" w:rsidRDefault="00A30BFD" w:rsidP="007703E9">
      <w:r>
        <w:continuationSeparator/>
      </w:r>
    </w:p>
  </w:footnote>
  <w:footnote w:id="1">
    <w:p w:rsidR="007F3083" w:rsidRPr="007F3083" w:rsidRDefault="007F3083" w:rsidP="007F3083">
      <w:pPr>
        <w:pStyle w:val="FootnoteText"/>
        <w:rPr>
          <w:sz w:val="28"/>
          <w:szCs w:val="28"/>
        </w:rPr>
      </w:pPr>
      <w:r>
        <w:rPr>
          <w:rStyle w:val="FootnoteReference"/>
        </w:rPr>
        <w:footnoteRef/>
      </w:r>
      <w:r>
        <w:t xml:space="preserve"> </w:t>
      </w:r>
      <w:r w:rsidRPr="007F3083">
        <w:rPr>
          <w:sz w:val="28"/>
          <w:szCs w:val="28"/>
        </w:rPr>
        <w:t xml:space="preserve">Harrison Associates </w:t>
      </w:r>
      <w:proofErr w:type="gramStart"/>
      <w:r w:rsidRPr="007F3083">
        <w:rPr>
          <w:sz w:val="28"/>
          <w:szCs w:val="28"/>
        </w:rPr>
        <w:t xml:space="preserve">is </w:t>
      </w:r>
      <w:r>
        <w:rPr>
          <w:sz w:val="28"/>
          <w:szCs w:val="28"/>
        </w:rPr>
        <w:t>referred</w:t>
      </w:r>
      <w:proofErr w:type="gramEnd"/>
      <w:r>
        <w:rPr>
          <w:sz w:val="28"/>
          <w:szCs w:val="28"/>
        </w:rPr>
        <w:t xml:space="preserve"> to as “Harrison.”  </w:t>
      </w:r>
      <w:proofErr w:type="spellStart"/>
      <w:r>
        <w:rPr>
          <w:sz w:val="28"/>
          <w:szCs w:val="28"/>
        </w:rPr>
        <w:t>Harald</w:t>
      </w:r>
      <w:proofErr w:type="spellEnd"/>
      <w:r>
        <w:rPr>
          <w:sz w:val="28"/>
          <w:szCs w:val="28"/>
        </w:rPr>
        <w:t xml:space="preserve"> </w:t>
      </w:r>
      <w:proofErr w:type="spellStart"/>
      <w:r>
        <w:rPr>
          <w:sz w:val="28"/>
          <w:szCs w:val="28"/>
        </w:rPr>
        <w:t>McPike</w:t>
      </w:r>
      <w:proofErr w:type="spellEnd"/>
      <w:r>
        <w:rPr>
          <w:sz w:val="28"/>
          <w:szCs w:val="28"/>
        </w:rPr>
        <w:t xml:space="preserve"> </w:t>
      </w:r>
      <w:proofErr w:type="gramStart"/>
      <w:r>
        <w:rPr>
          <w:sz w:val="28"/>
          <w:szCs w:val="28"/>
        </w:rPr>
        <w:t>is referred</w:t>
      </w:r>
      <w:proofErr w:type="gramEnd"/>
      <w:r>
        <w:rPr>
          <w:sz w:val="28"/>
          <w:szCs w:val="28"/>
        </w:rPr>
        <w:t xml:space="preserve"> to as “HMcP.”  Collectively, they are referred to as “HA/HMcP.”</w:t>
      </w:r>
    </w:p>
  </w:footnote>
  <w:footnote w:id="2">
    <w:p w:rsidR="001823DA" w:rsidRDefault="001823DA" w:rsidP="001823DA">
      <w:pPr>
        <w:pStyle w:val="FootnoteText"/>
        <w:jc w:val="both"/>
      </w:pPr>
      <w:r>
        <w:rPr>
          <w:rStyle w:val="FootnoteReference"/>
        </w:rPr>
        <w:footnoteRef/>
      </w:r>
      <w:r>
        <w:t xml:space="preserve"> </w:t>
      </w:r>
      <w:proofErr w:type="gramStart"/>
      <w:r w:rsidRPr="001823DA">
        <w:rPr>
          <w:sz w:val="28"/>
          <w:szCs w:val="28"/>
          <w:u w:val="single"/>
        </w:rPr>
        <w:t>See</w:t>
      </w:r>
      <w:r w:rsidRPr="001823DA">
        <w:rPr>
          <w:sz w:val="28"/>
          <w:szCs w:val="28"/>
        </w:rPr>
        <w:t xml:space="preserve">, </w:t>
      </w:r>
      <w:proofErr w:type="spellStart"/>
      <w:r w:rsidRPr="001823DA">
        <w:rPr>
          <w:sz w:val="28"/>
          <w:szCs w:val="28"/>
          <w:u w:val="single"/>
        </w:rPr>
        <w:t>Klesch</w:t>
      </w:r>
      <w:proofErr w:type="spellEnd"/>
      <w:r w:rsidRPr="001823DA">
        <w:rPr>
          <w:sz w:val="28"/>
          <w:szCs w:val="28"/>
          <w:u w:val="single"/>
        </w:rPr>
        <w:t xml:space="preserve"> &amp; Co. Ltd. </w:t>
      </w:r>
      <w:r w:rsidR="005D52DB">
        <w:rPr>
          <w:sz w:val="28"/>
          <w:szCs w:val="28"/>
          <w:u w:val="single"/>
        </w:rPr>
        <w:t>v</w:t>
      </w:r>
      <w:r w:rsidRPr="001823DA">
        <w:rPr>
          <w:sz w:val="28"/>
          <w:szCs w:val="28"/>
          <w:u w:val="single"/>
        </w:rPr>
        <w:t>. Liberty Media Corp</w:t>
      </w:r>
      <w:r w:rsidRPr="001823DA">
        <w:rPr>
          <w:sz w:val="28"/>
          <w:szCs w:val="28"/>
        </w:rPr>
        <w:t xml:space="preserve">., 217 </w:t>
      </w:r>
      <w:proofErr w:type="spellStart"/>
      <w:r w:rsidRPr="001823DA">
        <w:rPr>
          <w:sz w:val="28"/>
          <w:szCs w:val="28"/>
        </w:rPr>
        <w:t>F.R.D</w:t>
      </w:r>
      <w:proofErr w:type="spellEnd"/>
      <w:r w:rsidRPr="001823DA">
        <w:rPr>
          <w:sz w:val="28"/>
          <w:szCs w:val="28"/>
        </w:rPr>
        <w:t xml:space="preserve">. 517, 520 (D. Colo. 2003) (stating that even under the most expansive interpretation of “control,” the “practical ability” to demand production must be accompanied by a similar ability to enforce compliance with that demand); </w:t>
      </w:r>
      <w:r w:rsidRPr="001823DA">
        <w:rPr>
          <w:sz w:val="28"/>
          <w:szCs w:val="28"/>
          <w:u w:val="single"/>
        </w:rPr>
        <w:t xml:space="preserve">Bell v. Lakewood </w:t>
      </w:r>
      <w:proofErr w:type="spellStart"/>
      <w:r w:rsidRPr="001823DA">
        <w:rPr>
          <w:sz w:val="28"/>
          <w:szCs w:val="28"/>
          <w:u w:val="single"/>
        </w:rPr>
        <w:t>Eng’g</w:t>
      </w:r>
      <w:proofErr w:type="spellEnd"/>
      <w:r w:rsidRPr="001823DA">
        <w:rPr>
          <w:sz w:val="28"/>
          <w:szCs w:val="28"/>
          <w:u w:val="single"/>
        </w:rPr>
        <w:t xml:space="preserve"> &amp; Mfg. Co.</w:t>
      </w:r>
      <w:r w:rsidRPr="001823DA">
        <w:rPr>
          <w:sz w:val="28"/>
          <w:szCs w:val="28"/>
        </w:rPr>
        <w:t xml:space="preserve">, 15 </w:t>
      </w:r>
      <w:proofErr w:type="spellStart"/>
      <w:r w:rsidRPr="001823DA">
        <w:rPr>
          <w:sz w:val="28"/>
          <w:szCs w:val="28"/>
        </w:rPr>
        <w:t>F.3d</w:t>
      </w:r>
      <w:proofErr w:type="spellEnd"/>
      <w:r w:rsidRPr="001823DA">
        <w:rPr>
          <w:sz w:val="28"/>
          <w:szCs w:val="28"/>
        </w:rPr>
        <w:t xml:space="preserve"> 546, 522 (6</w:t>
      </w:r>
      <w:r w:rsidRPr="001823DA">
        <w:rPr>
          <w:sz w:val="28"/>
          <w:szCs w:val="28"/>
          <w:vertAlign w:val="superscript"/>
        </w:rPr>
        <w:t>th</w:t>
      </w:r>
      <w:r w:rsidRPr="001823DA">
        <w:rPr>
          <w:sz w:val="28"/>
          <w:szCs w:val="28"/>
        </w:rPr>
        <w:t xml:space="preserve"> Cir. 1994) (holding that dismissal under Rule 37 for failure to comply with a discovery request would be an abuse of discretion if the party does not have ability to comply); </w:t>
      </w:r>
      <w:proofErr w:type="spellStart"/>
      <w:r w:rsidRPr="001823DA">
        <w:rPr>
          <w:sz w:val="28"/>
          <w:szCs w:val="28"/>
          <w:u w:val="single"/>
        </w:rPr>
        <w:t>Chaveriat</w:t>
      </w:r>
      <w:proofErr w:type="spellEnd"/>
      <w:r w:rsidRPr="001823DA">
        <w:rPr>
          <w:sz w:val="28"/>
          <w:szCs w:val="28"/>
          <w:u w:val="single"/>
        </w:rPr>
        <w:t xml:space="preserve"> v. Williams Pipe Line Co</w:t>
      </w:r>
      <w:r w:rsidRPr="001823DA">
        <w:rPr>
          <w:sz w:val="28"/>
          <w:szCs w:val="28"/>
        </w:rPr>
        <w:t xml:space="preserve">., 11 </w:t>
      </w:r>
      <w:proofErr w:type="spellStart"/>
      <w:r w:rsidRPr="001823DA">
        <w:rPr>
          <w:sz w:val="28"/>
          <w:szCs w:val="28"/>
        </w:rPr>
        <w:t>F.3d</w:t>
      </w:r>
      <w:proofErr w:type="spellEnd"/>
      <w:r w:rsidRPr="001823DA">
        <w:rPr>
          <w:sz w:val="28"/>
          <w:szCs w:val="28"/>
        </w:rPr>
        <w:t xml:space="preserve"> 1420, 1427 (7</w:t>
      </w:r>
      <w:r w:rsidRPr="001823DA">
        <w:rPr>
          <w:sz w:val="28"/>
          <w:szCs w:val="28"/>
          <w:vertAlign w:val="superscript"/>
        </w:rPr>
        <w:t>th</w:t>
      </w:r>
      <w:r w:rsidRPr="001823DA">
        <w:rPr>
          <w:sz w:val="28"/>
          <w:szCs w:val="28"/>
        </w:rPr>
        <w:t xml:space="preserve"> Cir. 1993) (finding that party could obtain document</w:t>
      </w:r>
      <w:r w:rsidR="00BF1E1E">
        <w:rPr>
          <w:sz w:val="28"/>
          <w:szCs w:val="28"/>
        </w:rPr>
        <w:t>s</w:t>
      </w:r>
      <w:r w:rsidRPr="001823DA">
        <w:rPr>
          <w:sz w:val="28"/>
          <w:szCs w:val="28"/>
        </w:rPr>
        <w:t xml:space="preserve"> if it tried hard enough does not mean that document is in its “possession, custody or control” within meaning of the </w:t>
      </w:r>
      <w:proofErr w:type="spellStart"/>
      <w:r w:rsidRPr="001823DA">
        <w:rPr>
          <w:sz w:val="28"/>
          <w:szCs w:val="28"/>
        </w:rPr>
        <w:t>F.R.C.P</w:t>
      </w:r>
      <w:proofErr w:type="spellEnd"/>
      <w:r w:rsidRPr="001823DA">
        <w:rPr>
          <w:sz w:val="28"/>
          <w:szCs w:val="28"/>
        </w:rPr>
        <w:t xml:space="preserve">. on production of documents); </w:t>
      </w:r>
      <w:proofErr w:type="spellStart"/>
      <w:r w:rsidRPr="001823DA">
        <w:rPr>
          <w:sz w:val="28"/>
          <w:szCs w:val="28"/>
          <w:u w:val="single"/>
        </w:rPr>
        <w:t>Comeau</w:t>
      </w:r>
      <w:proofErr w:type="spellEnd"/>
      <w:r w:rsidRPr="001823DA">
        <w:rPr>
          <w:sz w:val="28"/>
          <w:szCs w:val="28"/>
          <w:u w:val="single"/>
        </w:rPr>
        <w:t xml:space="preserve"> v. Rupp</w:t>
      </w:r>
      <w:r w:rsidRPr="001823DA">
        <w:rPr>
          <w:sz w:val="28"/>
          <w:szCs w:val="28"/>
        </w:rPr>
        <w:t xml:space="preserve">, 810 </w:t>
      </w:r>
      <w:proofErr w:type="spellStart"/>
      <w:r w:rsidRPr="001823DA">
        <w:rPr>
          <w:sz w:val="28"/>
          <w:szCs w:val="28"/>
        </w:rPr>
        <w:t>F.Supp</w:t>
      </w:r>
      <w:proofErr w:type="spellEnd"/>
      <w:r w:rsidRPr="001823DA">
        <w:rPr>
          <w:sz w:val="28"/>
          <w:szCs w:val="28"/>
        </w:rPr>
        <w:t>.</w:t>
      </w:r>
      <w:proofErr w:type="gramEnd"/>
      <w:r w:rsidRPr="001823DA">
        <w:rPr>
          <w:sz w:val="28"/>
          <w:szCs w:val="28"/>
        </w:rPr>
        <w:t xml:space="preserve"> 1127, 1166 (D. Kan. 1992) “control,” within the meaning of </w:t>
      </w:r>
      <w:r w:rsidR="00BF1E1E">
        <w:rPr>
          <w:sz w:val="28"/>
          <w:szCs w:val="28"/>
        </w:rPr>
        <w:t xml:space="preserve">the </w:t>
      </w:r>
      <w:r w:rsidRPr="001823DA">
        <w:rPr>
          <w:sz w:val="28"/>
          <w:szCs w:val="28"/>
        </w:rPr>
        <w:t xml:space="preserve">federal rule requiring </w:t>
      </w:r>
      <w:r w:rsidR="00BF1E1E">
        <w:rPr>
          <w:sz w:val="28"/>
          <w:szCs w:val="28"/>
        </w:rPr>
        <w:t xml:space="preserve">a </w:t>
      </w:r>
      <w:r w:rsidRPr="001823DA">
        <w:rPr>
          <w:sz w:val="28"/>
          <w:szCs w:val="28"/>
        </w:rPr>
        <w:t>party to produce responsive documents that are in its possession, custody or control, comprehends not only possession but also</w:t>
      </w:r>
      <w:r w:rsidR="00BF1E1E">
        <w:rPr>
          <w:sz w:val="28"/>
          <w:szCs w:val="28"/>
        </w:rPr>
        <w:t xml:space="preserve"> the</w:t>
      </w:r>
      <w:r w:rsidRPr="001823DA">
        <w:rPr>
          <w:sz w:val="28"/>
          <w:szCs w:val="28"/>
        </w:rPr>
        <w:t xml:space="preserve"> </w:t>
      </w:r>
      <w:r w:rsidRPr="00BF1E1E">
        <w:rPr>
          <w:b/>
          <w:sz w:val="28"/>
          <w:szCs w:val="28"/>
        </w:rPr>
        <w:t>right, authority</w:t>
      </w:r>
      <w:r w:rsidRPr="00BF1E1E">
        <w:rPr>
          <w:sz w:val="28"/>
          <w:szCs w:val="28"/>
        </w:rPr>
        <w:t>, or</w:t>
      </w:r>
      <w:r w:rsidRPr="00BF1E1E">
        <w:rPr>
          <w:b/>
          <w:sz w:val="28"/>
          <w:szCs w:val="28"/>
        </w:rPr>
        <w:t xml:space="preserve"> ability</w:t>
      </w:r>
      <w:r w:rsidRPr="001823DA">
        <w:rPr>
          <w:sz w:val="28"/>
          <w:szCs w:val="28"/>
        </w:rPr>
        <w:t xml:space="preserve"> to obtain </w:t>
      </w:r>
      <w:r w:rsidR="00BF1E1E">
        <w:rPr>
          <w:sz w:val="28"/>
          <w:szCs w:val="28"/>
        </w:rPr>
        <w:t xml:space="preserve">the </w:t>
      </w:r>
      <w:r w:rsidRPr="001823DA">
        <w:rPr>
          <w:sz w:val="28"/>
          <w:szCs w:val="28"/>
        </w:rPr>
        <w:t>documents.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4BB"/>
    <w:multiLevelType w:val="hybridMultilevel"/>
    <w:tmpl w:val="1CE01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381D2E"/>
    <w:multiLevelType w:val="multilevel"/>
    <w:tmpl w:val="C80AE3F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3AE7EF3"/>
    <w:multiLevelType w:val="hybridMultilevel"/>
    <w:tmpl w:val="004E26F4"/>
    <w:lvl w:ilvl="0" w:tplc="C55AB2C6">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C35EEC"/>
    <w:multiLevelType w:val="hybridMultilevel"/>
    <w:tmpl w:val="03A04B06"/>
    <w:lvl w:ilvl="0" w:tplc="3618C744">
      <w:start w:val="24"/>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8D0647"/>
    <w:multiLevelType w:val="hybridMultilevel"/>
    <w:tmpl w:val="54664BDE"/>
    <w:lvl w:ilvl="0" w:tplc="A854455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721565"/>
    <w:multiLevelType w:val="hybridMultilevel"/>
    <w:tmpl w:val="47E8FDCC"/>
    <w:lvl w:ilvl="0" w:tplc="237234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0A3CD7"/>
    <w:multiLevelType w:val="hybridMultilevel"/>
    <w:tmpl w:val="E8D0FA86"/>
    <w:lvl w:ilvl="0" w:tplc="B08A3CCC">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A35979"/>
    <w:multiLevelType w:val="hybridMultilevel"/>
    <w:tmpl w:val="03A04B06"/>
    <w:lvl w:ilvl="0" w:tplc="3618C744">
      <w:start w:val="24"/>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CC1958"/>
    <w:multiLevelType w:val="hybridMultilevel"/>
    <w:tmpl w:val="4178E508"/>
    <w:lvl w:ilvl="0" w:tplc="A704AF6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9155494"/>
    <w:multiLevelType w:val="hybridMultilevel"/>
    <w:tmpl w:val="87EA92CC"/>
    <w:lvl w:ilvl="0" w:tplc="278C7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D25E11"/>
    <w:multiLevelType w:val="hybridMultilevel"/>
    <w:tmpl w:val="D9E482DC"/>
    <w:lvl w:ilvl="0" w:tplc="C55AB2C6">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2501CF"/>
    <w:multiLevelType w:val="hybridMultilevel"/>
    <w:tmpl w:val="1CE01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1CE484E"/>
    <w:multiLevelType w:val="hybridMultilevel"/>
    <w:tmpl w:val="665C65C4"/>
    <w:lvl w:ilvl="0" w:tplc="3618C744">
      <w:start w:val="29"/>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001BE9"/>
    <w:multiLevelType w:val="hybridMultilevel"/>
    <w:tmpl w:val="69D0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12641D"/>
    <w:multiLevelType w:val="hybridMultilevel"/>
    <w:tmpl w:val="47E8FDCC"/>
    <w:lvl w:ilvl="0" w:tplc="237234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7A1D96"/>
    <w:multiLevelType w:val="hybridMultilevel"/>
    <w:tmpl w:val="4178E508"/>
    <w:lvl w:ilvl="0" w:tplc="A704AF64">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5"/>
  </w:num>
  <w:num w:numId="3">
    <w:abstractNumId w:val="8"/>
  </w:num>
  <w:num w:numId="4">
    <w:abstractNumId w:val="7"/>
  </w:num>
  <w:num w:numId="5">
    <w:abstractNumId w:val="3"/>
  </w:num>
  <w:num w:numId="6">
    <w:abstractNumId w:val="12"/>
  </w:num>
  <w:num w:numId="7">
    <w:abstractNumId w:val="4"/>
  </w:num>
  <w:num w:numId="8">
    <w:abstractNumId w:val="5"/>
  </w:num>
  <w:num w:numId="9">
    <w:abstractNumId w:val="13"/>
  </w:num>
  <w:num w:numId="10">
    <w:abstractNumId w:val="14"/>
  </w:num>
  <w:num w:numId="11">
    <w:abstractNumId w:val="0"/>
  </w:num>
  <w:num w:numId="12">
    <w:abstractNumId w:val="9"/>
  </w:num>
  <w:num w:numId="13">
    <w:abstractNumId w:val="6"/>
  </w:num>
  <w:num w:numId="14">
    <w:abstractNumId w:val="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E5"/>
    <w:rsid w:val="000002AB"/>
    <w:rsid w:val="000058BD"/>
    <w:rsid w:val="0000610E"/>
    <w:rsid w:val="000107B7"/>
    <w:rsid w:val="000112E1"/>
    <w:rsid w:val="00012C7A"/>
    <w:rsid w:val="00012FBA"/>
    <w:rsid w:val="0001615B"/>
    <w:rsid w:val="00020823"/>
    <w:rsid w:val="0002463D"/>
    <w:rsid w:val="0003244D"/>
    <w:rsid w:val="00032B2F"/>
    <w:rsid w:val="000347C0"/>
    <w:rsid w:val="000411A9"/>
    <w:rsid w:val="00042302"/>
    <w:rsid w:val="00043A91"/>
    <w:rsid w:val="00046472"/>
    <w:rsid w:val="00046509"/>
    <w:rsid w:val="0005013F"/>
    <w:rsid w:val="00055ACA"/>
    <w:rsid w:val="000601C2"/>
    <w:rsid w:val="00062EDB"/>
    <w:rsid w:val="00063302"/>
    <w:rsid w:val="000646F2"/>
    <w:rsid w:val="00066D92"/>
    <w:rsid w:val="00073FC4"/>
    <w:rsid w:val="00075229"/>
    <w:rsid w:val="000774E4"/>
    <w:rsid w:val="00080CAC"/>
    <w:rsid w:val="000859C9"/>
    <w:rsid w:val="00091ACB"/>
    <w:rsid w:val="00091DC4"/>
    <w:rsid w:val="000A498C"/>
    <w:rsid w:val="000A4AD6"/>
    <w:rsid w:val="000B196B"/>
    <w:rsid w:val="000B1D9F"/>
    <w:rsid w:val="000B2355"/>
    <w:rsid w:val="000B2BE8"/>
    <w:rsid w:val="000B3093"/>
    <w:rsid w:val="000C06DE"/>
    <w:rsid w:val="000C77A6"/>
    <w:rsid w:val="000D085E"/>
    <w:rsid w:val="000D1070"/>
    <w:rsid w:val="000E0413"/>
    <w:rsid w:val="000E32F6"/>
    <w:rsid w:val="000E3C7D"/>
    <w:rsid w:val="000E7146"/>
    <w:rsid w:val="000F12A2"/>
    <w:rsid w:val="000F6D5B"/>
    <w:rsid w:val="000F761C"/>
    <w:rsid w:val="00103150"/>
    <w:rsid w:val="00110B78"/>
    <w:rsid w:val="00113111"/>
    <w:rsid w:val="00113951"/>
    <w:rsid w:val="001168D2"/>
    <w:rsid w:val="00120BF7"/>
    <w:rsid w:val="00122804"/>
    <w:rsid w:val="00127E1F"/>
    <w:rsid w:val="001302E1"/>
    <w:rsid w:val="00130F6A"/>
    <w:rsid w:val="00133353"/>
    <w:rsid w:val="001355DA"/>
    <w:rsid w:val="001402CA"/>
    <w:rsid w:val="001422B8"/>
    <w:rsid w:val="00143300"/>
    <w:rsid w:val="001436E8"/>
    <w:rsid w:val="00146515"/>
    <w:rsid w:val="001505C3"/>
    <w:rsid w:val="00160C47"/>
    <w:rsid w:val="001615A9"/>
    <w:rsid w:val="00163E27"/>
    <w:rsid w:val="00171548"/>
    <w:rsid w:val="00172A13"/>
    <w:rsid w:val="00173EDA"/>
    <w:rsid w:val="0017538A"/>
    <w:rsid w:val="00176650"/>
    <w:rsid w:val="0017784E"/>
    <w:rsid w:val="00180A0B"/>
    <w:rsid w:val="0018179B"/>
    <w:rsid w:val="001820C4"/>
    <w:rsid w:val="001822A5"/>
    <w:rsid w:val="001823DA"/>
    <w:rsid w:val="00182872"/>
    <w:rsid w:val="00182DBE"/>
    <w:rsid w:val="00183931"/>
    <w:rsid w:val="00183E19"/>
    <w:rsid w:val="00184151"/>
    <w:rsid w:val="00187A48"/>
    <w:rsid w:val="001A1D73"/>
    <w:rsid w:val="001A6E3F"/>
    <w:rsid w:val="001A7DF7"/>
    <w:rsid w:val="001B2518"/>
    <w:rsid w:val="001B43DD"/>
    <w:rsid w:val="001B56D0"/>
    <w:rsid w:val="001C1274"/>
    <w:rsid w:val="001C35B7"/>
    <w:rsid w:val="001C3AC2"/>
    <w:rsid w:val="001C3FA4"/>
    <w:rsid w:val="001C4FD8"/>
    <w:rsid w:val="001C6C86"/>
    <w:rsid w:val="001C6F09"/>
    <w:rsid w:val="001E3F85"/>
    <w:rsid w:val="001F4BAE"/>
    <w:rsid w:val="001F6396"/>
    <w:rsid w:val="001F63A6"/>
    <w:rsid w:val="001F6B77"/>
    <w:rsid w:val="001F7AA1"/>
    <w:rsid w:val="001F7B39"/>
    <w:rsid w:val="00205F5B"/>
    <w:rsid w:val="00206068"/>
    <w:rsid w:val="00207717"/>
    <w:rsid w:val="00214190"/>
    <w:rsid w:val="00214FBA"/>
    <w:rsid w:val="0021522F"/>
    <w:rsid w:val="0022062F"/>
    <w:rsid w:val="002227F2"/>
    <w:rsid w:val="002241C7"/>
    <w:rsid w:val="00224265"/>
    <w:rsid w:val="00224456"/>
    <w:rsid w:val="0023057A"/>
    <w:rsid w:val="00231F4B"/>
    <w:rsid w:val="00232259"/>
    <w:rsid w:val="00232DA4"/>
    <w:rsid w:val="002349C3"/>
    <w:rsid w:val="00234D62"/>
    <w:rsid w:val="002359C7"/>
    <w:rsid w:val="00236742"/>
    <w:rsid w:val="002379F0"/>
    <w:rsid w:val="00237A3E"/>
    <w:rsid w:val="00241CF2"/>
    <w:rsid w:val="00243FCD"/>
    <w:rsid w:val="0024658F"/>
    <w:rsid w:val="002515C7"/>
    <w:rsid w:val="00251622"/>
    <w:rsid w:val="00255E5A"/>
    <w:rsid w:val="00256212"/>
    <w:rsid w:val="00265A53"/>
    <w:rsid w:val="002672BB"/>
    <w:rsid w:val="002720F5"/>
    <w:rsid w:val="00273189"/>
    <w:rsid w:val="00274713"/>
    <w:rsid w:val="002804B8"/>
    <w:rsid w:val="00282A8D"/>
    <w:rsid w:val="00284349"/>
    <w:rsid w:val="002865AC"/>
    <w:rsid w:val="002922B5"/>
    <w:rsid w:val="00297238"/>
    <w:rsid w:val="00297F19"/>
    <w:rsid w:val="002A0759"/>
    <w:rsid w:val="002A33F2"/>
    <w:rsid w:val="002B4CEF"/>
    <w:rsid w:val="002C0240"/>
    <w:rsid w:val="002C2130"/>
    <w:rsid w:val="002C5A87"/>
    <w:rsid w:val="002D2E37"/>
    <w:rsid w:val="002D2F7C"/>
    <w:rsid w:val="002D34BC"/>
    <w:rsid w:val="002D55B7"/>
    <w:rsid w:val="002D768E"/>
    <w:rsid w:val="002E220E"/>
    <w:rsid w:val="002E390C"/>
    <w:rsid w:val="002E70B1"/>
    <w:rsid w:val="002F0748"/>
    <w:rsid w:val="002F0C67"/>
    <w:rsid w:val="002F3088"/>
    <w:rsid w:val="00300658"/>
    <w:rsid w:val="00300A11"/>
    <w:rsid w:val="00302627"/>
    <w:rsid w:val="0030284D"/>
    <w:rsid w:val="00303076"/>
    <w:rsid w:val="00304A39"/>
    <w:rsid w:val="00305223"/>
    <w:rsid w:val="00306F82"/>
    <w:rsid w:val="00307984"/>
    <w:rsid w:val="00312E0C"/>
    <w:rsid w:val="00313143"/>
    <w:rsid w:val="0031521D"/>
    <w:rsid w:val="00316ECF"/>
    <w:rsid w:val="00317CD5"/>
    <w:rsid w:val="00317EB6"/>
    <w:rsid w:val="00320430"/>
    <w:rsid w:val="003207BB"/>
    <w:rsid w:val="0032290B"/>
    <w:rsid w:val="003229F5"/>
    <w:rsid w:val="003246AB"/>
    <w:rsid w:val="003248CD"/>
    <w:rsid w:val="00324E0C"/>
    <w:rsid w:val="00325690"/>
    <w:rsid w:val="00326698"/>
    <w:rsid w:val="00333212"/>
    <w:rsid w:val="00343883"/>
    <w:rsid w:val="00344462"/>
    <w:rsid w:val="00345FE0"/>
    <w:rsid w:val="00353F0B"/>
    <w:rsid w:val="00355044"/>
    <w:rsid w:val="00355180"/>
    <w:rsid w:val="00356755"/>
    <w:rsid w:val="0036252E"/>
    <w:rsid w:val="003637F3"/>
    <w:rsid w:val="00364425"/>
    <w:rsid w:val="00365339"/>
    <w:rsid w:val="00366280"/>
    <w:rsid w:val="00370B0D"/>
    <w:rsid w:val="00370C35"/>
    <w:rsid w:val="003717B9"/>
    <w:rsid w:val="0037344E"/>
    <w:rsid w:val="00374084"/>
    <w:rsid w:val="00385D6B"/>
    <w:rsid w:val="00387777"/>
    <w:rsid w:val="0039714B"/>
    <w:rsid w:val="003972E5"/>
    <w:rsid w:val="00397859"/>
    <w:rsid w:val="003A0968"/>
    <w:rsid w:val="003A45CC"/>
    <w:rsid w:val="003A4A6E"/>
    <w:rsid w:val="003A5B23"/>
    <w:rsid w:val="003A5C31"/>
    <w:rsid w:val="003B083D"/>
    <w:rsid w:val="003B4C4C"/>
    <w:rsid w:val="003B635D"/>
    <w:rsid w:val="003B7BD7"/>
    <w:rsid w:val="003B7C70"/>
    <w:rsid w:val="003C2517"/>
    <w:rsid w:val="003D344A"/>
    <w:rsid w:val="003D4BA9"/>
    <w:rsid w:val="003D7C6C"/>
    <w:rsid w:val="003E1435"/>
    <w:rsid w:val="003E14F7"/>
    <w:rsid w:val="003E1AC9"/>
    <w:rsid w:val="003E637A"/>
    <w:rsid w:val="003E7D60"/>
    <w:rsid w:val="003F6BB7"/>
    <w:rsid w:val="004010A2"/>
    <w:rsid w:val="00401C60"/>
    <w:rsid w:val="004022A5"/>
    <w:rsid w:val="00403062"/>
    <w:rsid w:val="00404659"/>
    <w:rsid w:val="004051C7"/>
    <w:rsid w:val="00410434"/>
    <w:rsid w:val="00412BF5"/>
    <w:rsid w:val="00412CBD"/>
    <w:rsid w:val="004130F2"/>
    <w:rsid w:val="004149AC"/>
    <w:rsid w:val="00415515"/>
    <w:rsid w:val="00417638"/>
    <w:rsid w:val="0042105F"/>
    <w:rsid w:val="00425C90"/>
    <w:rsid w:val="0042786A"/>
    <w:rsid w:val="0043034C"/>
    <w:rsid w:val="0043201B"/>
    <w:rsid w:val="00433751"/>
    <w:rsid w:val="004340B0"/>
    <w:rsid w:val="00441086"/>
    <w:rsid w:val="00446B50"/>
    <w:rsid w:val="00446C79"/>
    <w:rsid w:val="00450D06"/>
    <w:rsid w:val="0045165D"/>
    <w:rsid w:val="00453A7A"/>
    <w:rsid w:val="00454B38"/>
    <w:rsid w:val="00456216"/>
    <w:rsid w:val="00456FD6"/>
    <w:rsid w:val="0046117B"/>
    <w:rsid w:val="004618E2"/>
    <w:rsid w:val="00462E00"/>
    <w:rsid w:val="004631CD"/>
    <w:rsid w:val="00470334"/>
    <w:rsid w:val="00470DF8"/>
    <w:rsid w:val="00471F18"/>
    <w:rsid w:val="00472EBE"/>
    <w:rsid w:val="004750CF"/>
    <w:rsid w:val="004759C1"/>
    <w:rsid w:val="00483E1F"/>
    <w:rsid w:val="004848C1"/>
    <w:rsid w:val="0048617E"/>
    <w:rsid w:val="0049014B"/>
    <w:rsid w:val="004A2767"/>
    <w:rsid w:val="004A3A1E"/>
    <w:rsid w:val="004A45EC"/>
    <w:rsid w:val="004A64E2"/>
    <w:rsid w:val="004A6800"/>
    <w:rsid w:val="004B30CA"/>
    <w:rsid w:val="004B7713"/>
    <w:rsid w:val="004C1BBE"/>
    <w:rsid w:val="004C1F17"/>
    <w:rsid w:val="004C30CC"/>
    <w:rsid w:val="004C3C6F"/>
    <w:rsid w:val="004C4B42"/>
    <w:rsid w:val="004C645C"/>
    <w:rsid w:val="004C661F"/>
    <w:rsid w:val="004D061A"/>
    <w:rsid w:val="004D1674"/>
    <w:rsid w:val="004D37F1"/>
    <w:rsid w:val="004D3A5F"/>
    <w:rsid w:val="004E402D"/>
    <w:rsid w:val="004E500D"/>
    <w:rsid w:val="004E71BF"/>
    <w:rsid w:val="004E7779"/>
    <w:rsid w:val="004F1612"/>
    <w:rsid w:val="004F2478"/>
    <w:rsid w:val="004F400F"/>
    <w:rsid w:val="004F5F0B"/>
    <w:rsid w:val="004F6ABA"/>
    <w:rsid w:val="0050626E"/>
    <w:rsid w:val="00507212"/>
    <w:rsid w:val="0051526E"/>
    <w:rsid w:val="005177D9"/>
    <w:rsid w:val="005216F7"/>
    <w:rsid w:val="00525C86"/>
    <w:rsid w:val="005368AC"/>
    <w:rsid w:val="00536A7C"/>
    <w:rsid w:val="00536E64"/>
    <w:rsid w:val="0053729B"/>
    <w:rsid w:val="00540AAC"/>
    <w:rsid w:val="005415E0"/>
    <w:rsid w:val="00542214"/>
    <w:rsid w:val="0054256F"/>
    <w:rsid w:val="00543934"/>
    <w:rsid w:val="005472FE"/>
    <w:rsid w:val="00547FD4"/>
    <w:rsid w:val="005511C8"/>
    <w:rsid w:val="005535F8"/>
    <w:rsid w:val="00553AB9"/>
    <w:rsid w:val="005566A2"/>
    <w:rsid w:val="0056101E"/>
    <w:rsid w:val="005631EC"/>
    <w:rsid w:val="0056396B"/>
    <w:rsid w:val="005641B4"/>
    <w:rsid w:val="00565002"/>
    <w:rsid w:val="00567EA2"/>
    <w:rsid w:val="0058297D"/>
    <w:rsid w:val="00586834"/>
    <w:rsid w:val="0059405F"/>
    <w:rsid w:val="00595099"/>
    <w:rsid w:val="00597944"/>
    <w:rsid w:val="005A1810"/>
    <w:rsid w:val="005A22B1"/>
    <w:rsid w:val="005A3F9A"/>
    <w:rsid w:val="005A4711"/>
    <w:rsid w:val="005A5AA5"/>
    <w:rsid w:val="005A6202"/>
    <w:rsid w:val="005B1E37"/>
    <w:rsid w:val="005B24C5"/>
    <w:rsid w:val="005B362B"/>
    <w:rsid w:val="005B7E85"/>
    <w:rsid w:val="005C05DA"/>
    <w:rsid w:val="005C0DCD"/>
    <w:rsid w:val="005C15D8"/>
    <w:rsid w:val="005C1F26"/>
    <w:rsid w:val="005C21EC"/>
    <w:rsid w:val="005C5BAA"/>
    <w:rsid w:val="005C5D31"/>
    <w:rsid w:val="005C6E61"/>
    <w:rsid w:val="005C7D14"/>
    <w:rsid w:val="005D001D"/>
    <w:rsid w:val="005D29C2"/>
    <w:rsid w:val="005D52DB"/>
    <w:rsid w:val="005D5E61"/>
    <w:rsid w:val="005D6783"/>
    <w:rsid w:val="005E43CE"/>
    <w:rsid w:val="005E474D"/>
    <w:rsid w:val="005E6454"/>
    <w:rsid w:val="005E64C6"/>
    <w:rsid w:val="005E6DF6"/>
    <w:rsid w:val="005F2A5B"/>
    <w:rsid w:val="005F3702"/>
    <w:rsid w:val="005F3FB6"/>
    <w:rsid w:val="005F57E1"/>
    <w:rsid w:val="005F6846"/>
    <w:rsid w:val="005F6F0E"/>
    <w:rsid w:val="006077FB"/>
    <w:rsid w:val="00610E01"/>
    <w:rsid w:val="0061447C"/>
    <w:rsid w:val="00614903"/>
    <w:rsid w:val="00615DBA"/>
    <w:rsid w:val="00616168"/>
    <w:rsid w:val="00624E5B"/>
    <w:rsid w:val="00626D13"/>
    <w:rsid w:val="00627C7E"/>
    <w:rsid w:val="0063061B"/>
    <w:rsid w:val="0063143E"/>
    <w:rsid w:val="00632928"/>
    <w:rsid w:val="006345C6"/>
    <w:rsid w:val="00637125"/>
    <w:rsid w:val="00637589"/>
    <w:rsid w:val="00637B88"/>
    <w:rsid w:val="006416BF"/>
    <w:rsid w:val="006426A5"/>
    <w:rsid w:val="006474DD"/>
    <w:rsid w:val="00652C2F"/>
    <w:rsid w:val="00653136"/>
    <w:rsid w:val="00654C01"/>
    <w:rsid w:val="00657D45"/>
    <w:rsid w:val="0066106A"/>
    <w:rsid w:val="006620BB"/>
    <w:rsid w:val="00671F31"/>
    <w:rsid w:val="0067270B"/>
    <w:rsid w:val="00672E16"/>
    <w:rsid w:val="00675CDB"/>
    <w:rsid w:val="00680B15"/>
    <w:rsid w:val="00682EFB"/>
    <w:rsid w:val="00684BEB"/>
    <w:rsid w:val="00685BF3"/>
    <w:rsid w:val="006869E4"/>
    <w:rsid w:val="00687EAB"/>
    <w:rsid w:val="0069565F"/>
    <w:rsid w:val="006A00F0"/>
    <w:rsid w:val="006A51DA"/>
    <w:rsid w:val="006A5B97"/>
    <w:rsid w:val="006A5BC6"/>
    <w:rsid w:val="006A6847"/>
    <w:rsid w:val="006B2D23"/>
    <w:rsid w:val="006B48DC"/>
    <w:rsid w:val="006C1109"/>
    <w:rsid w:val="006C5D9E"/>
    <w:rsid w:val="006C63C8"/>
    <w:rsid w:val="006D0BDD"/>
    <w:rsid w:val="006D4E26"/>
    <w:rsid w:val="006D4E64"/>
    <w:rsid w:val="006E13F4"/>
    <w:rsid w:val="006E2E56"/>
    <w:rsid w:val="006E5AA1"/>
    <w:rsid w:val="006E6813"/>
    <w:rsid w:val="006E72E3"/>
    <w:rsid w:val="006F3F98"/>
    <w:rsid w:val="006F4709"/>
    <w:rsid w:val="006F54E6"/>
    <w:rsid w:val="0070528E"/>
    <w:rsid w:val="00710EBE"/>
    <w:rsid w:val="00714E10"/>
    <w:rsid w:val="00723025"/>
    <w:rsid w:val="00723AE4"/>
    <w:rsid w:val="007250A3"/>
    <w:rsid w:val="00725373"/>
    <w:rsid w:val="00725C9D"/>
    <w:rsid w:val="0072631D"/>
    <w:rsid w:val="007263DF"/>
    <w:rsid w:val="007314A6"/>
    <w:rsid w:val="00731790"/>
    <w:rsid w:val="00731CAF"/>
    <w:rsid w:val="00741DB5"/>
    <w:rsid w:val="007424FC"/>
    <w:rsid w:val="00743BE2"/>
    <w:rsid w:val="007442D4"/>
    <w:rsid w:val="0074595B"/>
    <w:rsid w:val="00747372"/>
    <w:rsid w:val="0075023B"/>
    <w:rsid w:val="00750515"/>
    <w:rsid w:val="00752E4B"/>
    <w:rsid w:val="007669C4"/>
    <w:rsid w:val="007703E9"/>
    <w:rsid w:val="00774750"/>
    <w:rsid w:val="00776810"/>
    <w:rsid w:val="00781258"/>
    <w:rsid w:val="00784457"/>
    <w:rsid w:val="00787593"/>
    <w:rsid w:val="0079108B"/>
    <w:rsid w:val="00791408"/>
    <w:rsid w:val="00791C14"/>
    <w:rsid w:val="0079253E"/>
    <w:rsid w:val="00795BBD"/>
    <w:rsid w:val="007968AB"/>
    <w:rsid w:val="007A0258"/>
    <w:rsid w:val="007A7BE7"/>
    <w:rsid w:val="007B0AF5"/>
    <w:rsid w:val="007B2C9F"/>
    <w:rsid w:val="007B3B57"/>
    <w:rsid w:val="007B4CBC"/>
    <w:rsid w:val="007B57A6"/>
    <w:rsid w:val="007C003A"/>
    <w:rsid w:val="007C05D6"/>
    <w:rsid w:val="007C0965"/>
    <w:rsid w:val="007C30B1"/>
    <w:rsid w:val="007C4554"/>
    <w:rsid w:val="007D0FE6"/>
    <w:rsid w:val="007D13EF"/>
    <w:rsid w:val="007D15C0"/>
    <w:rsid w:val="007D24EA"/>
    <w:rsid w:val="007D6B81"/>
    <w:rsid w:val="007D765D"/>
    <w:rsid w:val="007E00F0"/>
    <w:rsid w:val="007E099E"/>
    <w:rsid w:val="007E2A13"/>
    <w:rsid w:val="007E4F5D"/>
    <w:rsid w:val="007E6953"/>
    <w:rsid w:val="007F064A"/>
    <w:rsid w:val="007F21C3"/>
    <w:rsid w:val="007F3083"/>
    <w:rsid w:val="007F34EF"/>
    <w:rsid w:val="007F4FC8"/>
    <w:rsid w:val="007F6D2E"/>
    <w:rsid w:val="007F788E"/>
    <w:rsid w:val="00801886"/>
    <w:rsid w:val="00803724"/>
    <w:rsid w:val="008117EB"/>
    <w:rsid w:val="00812B9D"/>
    <w:rsid w:val="00820AED"/>
    <w:rsid w:val="00822C39"/>
    <w:rsid w:val="008231B3"/>
    <w:rsid w:val="0082327C"/>
    <w:rsid w:val="00823465"/>
    <w:rsid w:val="00826BCD"/>
    <w:rsid w:val="00830DDB"/>
    <w:rsid w:val="00831DEE"/>
    <w:rsid w:val="00832E75"/>
    <w:rsid w:val="008340BE"/>
    <w:rsid w:val="00836483"/>
    <w:rsid w:val="00840013"/>
    <w:rsid w:val="00841C9A"/>
    <w:rsid w:val="008452E2"/>
    <w:rsid w:val="00845E07"/>
    <w:rsid w:val="00846704"/>
    <w:rsid w:val="00850241"/>
    <w:rsid w:val="00850F5B"/>
    <w:rsid w:val="00853244"/>
    <w:rsid w:val="00854CCF"/>
    <w:rsid w:val="008557B0"/>
    <w:rsid w:val="00855BC6"/>
    <w:rsid w:val="00856B82"/>
    <w:rsid w:val="00857F9B"/>
    <w:rsid w:val="00860D10"/>
    <w:rsid w:val="0086164D"/>
    <w:rsid w:val="008636E0"/>
    <w:rsid w:val="00864AAE"/>
    <w:rsid w:val="0087044D"/>
    <w:rsid w:val="008719D9"/>
    <w:rsid w:val="00872A18"/>
    <w:rsid w:val="0087304C"/>
    <w:rsid w:val="00874332"/>
    <w:rsid w:val="0087444C"/>
    <w:rsid w:val="00874A57"/>
    <w:rsid w:val="00876FB1"/>
    <w:rsid w:val="0089091A"/>
    <w:rsid w:val="008931B9"/>
    <w:rsid w:val="0089347A"/>
    <w:rsid w:val="0089473C"/>
    <w:rsid w:val="008A3F5B"/>
    <w:rsid w:val="008A412F"/>
    <w:rsid w:val="008A7708"/>
    <w:rsid w:val="008B011B"/>
    <w:rsid w:val="008B25F3"/>
    <w:rsid w:val="008B3A93"/>
    <w:rsid w:val="008B4954"/>
    <w:rsid w:val="008B6D38"/>
    <w:rsid w:val="008C2236"/>
    <w:rsid w:val="008C29BB"/>
    <w:rsid w:val="008C37FC"/>
    <w:rsid w:val="008C385C"/>
    <w:rsid w:val="008C77E4"/>
    <w:rsid w:val="008D24E7"/>
    <w:rsid w:val="008D35F0"/>
    <w:rsid w:val="008D3A12"/>
    <w:rsid w:val="008D3B01"/>
    <w:rsid w:val="008D62C9"/>
    <w:rsid w:val="008E11D9"/>
    <w:rsid w:val="008E2CA1"/>
    <w:rsid w:val="008E4544"/>
    <w:rsid w:val="008E4D09"/>
    <w:rsid w:val="008E50A0"/>
    <w:rsid w:val="008E56A1"/>
    <w:rsid w:val="008E72D5"/>
    <w:rsid w:val="008E7D74"/>
    <w:rsid w:val="008F1503"/>
    <w:rsid w:val="008F40FA"/>
    <w:rsid w:val="008F52D2"/>
    <w:rsid w:val="008F6A27"/>
    <w:rsid w:val="008F71D3"/>
    <w:rsid w:val="00901563"/>
    <w:rsid w:val="009018EB"/>
    <w:rsid w:val="00902A3C"/>
    <w:rsid w:val="00905D12"/>
    <w:rsid w:val="00906A5A"/>
    <w:rsid w:val="009115CA"/>
    <w:rsid w:val="00913179"/>
    <w:rsid w:val="009133B5"/>
    <w:rsid w:val="00913665"/>
    <w:rsid w:val="00915119"/>
    <w:rsid w:val="00916CC4"/>
    <w:rsid w:val="0092172F"/>
    <w:rsid w:val="009255E5"/>
    <w:rsid w:val="00930568"/>
    <w:rsid w:val="0093119B"/>
    <w:rsid w:val="00931782"/>
    <w:rsid w:val="0093358F"/>
    <w:rsid w:val="009360BC"/>
    <w:rsid w:val="009360E6"/>
    <w:rsid w:val="00942E87"/>
    <w:rsid w:val="00944B44"/>
    <w:rsid w:val="00950854"/>
    <w:rsid w:val="009508CC"/>
    <w:rsid w:val="00950D3C"/>
    <w:rsid w:val="0095128F"/>
    <w:rsid w:val="0095221D"/>
    <w:rsid w:val="0095375F"/>
    <w:rsid w:val="00953F9C"/>
    <w:rsid w:val="00956403"/>
    <w:rsid w:val="009613DD"/>
    <w:rsid w:val="00961BC9"/>
    <w:rsid w:val="00963199"/>
    <w:rsid w:val="00966D1B"/>
    <w:rsid w:val="009677AA"/>
    <w:rsid w:val="00976149"/>
    <w:rsid w:val="00983554"/>
    <w:rsid w:val="00983774"/>
    <w:rsid w:val="009862B7"/>
    <w:rsid w:val="0099091A"/>
    <w:rsid w:val="009909D0"/>
    <w:rsid w:val="0099105D"/>
    <w:rsid w:val="009922C1"/>
    <w:rsid w:val="00994495"/>
    <w:rsid w:val="00996B17"/>
    <w:rsid w:val="009A077E"/>
    <w:rsid w:val="009A1831"/>
    <w:rsid w:val="009A3E3A"/>
    <w:rsid w:val="009A3EA0"/>
    <w:rsid w:val="009A4D3A"/>
    <w:rsid w:val="009A5042"/>
    <w:rsid w:val="009A576A"/>
    <w:rsid w:val="009B07B1"/>
    <w:rsid w:val="009B20FC"/>
    <w:rsid w:val="009B2E3B"/>
    <w:rsid w:val="009B326E"/>
    <w:rsid w:val="009B3328"/>
    <w:rsid w:val="009B569B"/>
    <w:rsid w:val="009B663A"/>
    <w:rsid w:val="009B6A03"/>
    <w:rsid w:val="009C0B6B"/>
    <w:rsid w:val="009C1BD7"/>
    <w:rsid w:val="009D2BFF"/>
    <w:rsid w:val="009D437A"/>
    <w:rsid w:val="009D6876"/>
    <w:rsid w:val="009D7AE4"/>
    <w:rsid w:val="009E13F5"/>
    <w:rsid w:val="009E371E"/>
    <w:rsid w:val="009E3960"/>
    <w:rsid w:val="009F0B25"/>
    <w:rsid w:val="009F1EBC"/>
    <w:rsid w:val="00A034B5"/>
    <w:rsid w:val="00A03DEE"/>
    <w:rsid w:val="00A04E3E"/>
    <w:rsid w:val="00A05B53"/>
    <w:rsid w:val="00A06F41"/>
    <w:rsid w:val="00A1081E"/>
    <w:rsid w:val="00A11CB7"/>
    <w:rsid w:val="00A12FD5"/>
    <w:rsid w:val="00A237E5"/>
    <w:rsid w:val="00A23C55"/>
    <w:rsid w:val="00A24347"/>
    <w:rsid w:val="00A250C8"/>
    <w:rsid w:val="00A25100"/>
    <w:rsid w:val="00A30BFD"/>
    <w:rsid w:val="00A31B94"/>
    <w:rsid w:val="00A3615B"/>
    <w:rsid w:val="00A42196"/>
    <w:rsid w:val="00A44970"/>
    <w:rsid w:val="00A44F13"/>
    <w:rsid w:val="00A475C1"/>
    <w:rsid w:val="00A513D3"/>
    <w:rsid w:val="00A567F8"/>
    <w:rsid w:val="00A57324"/>
    <w:rsid w:val="00A57F24"/>
    <w:rsid w:val="00A65024"/>
    <w:rsid w:val="00A65229"/>
    <w:rsid w:val="00A672BD"/>
    <w:rsid w:val="00A67C3D"/>
    <w:rsid w:val="00A70FAA"/>
    <w:rsid w:val="00A7691B"/>
    <w:rsid w:val="00A8400F"/>
    <w:rsid w:val="00A87247"/>
    <w:rsid w:val="00A91088"/>
    <w:rsid w:val="00A92B06"/>
    <w:rsid w:val="00A93FD1"/>
    <w:rsid w:val="00A96B78"/>
    <w:rsid w:val="00A976B6"/>
    <w:rsid w:val="00AA27F0"/>
    <w:rsid w:val="00AA3EFD"/>
    <w:rsid w:val="00AA4338"/>
    <w:rsid w:val="00AA667C"/>
    <w:rsid w:val="00AB0826"/>
    <w:rsid w:val="00AB0BCB"/>
    <w:rsid w:val="00AB19E5"/>
    <w:rsid w:val="00AB273F"/>
    <w:rsid w:val="00AB70B4"/>
    <w:rsid w:val="00AC06BC"/>
    <w:rsid w:val="00AD00A1"/>
    <w:rsid w:val="00AD1E3E"/>
    <w:rsid w:val="00AD23A0"/>
    <w:rsid w:val="00AD2F37"/>
    <w:rsid w:val="00AE0E6D"/>
    <w:rsid w:val="00AE3225"/>
    <w:rsid w:val="00AE411E"/>
    <w:rsid w:val="00AE562C"/>
    <w:rsid w:val="00AF04A4"/>
    <w:rsid w:val="00AF0A5E"/>
    <w:rsid w:val="00AF2ED1"/>
    <w:rsid w:val="00AF3EE9"/>
    <w:rsid w:val="00AF4246"/>
    <w:rsid w:val="00AF701A"/>
    <w:rsid w:val="00AF71A1"/>
    <w:rsid w:val="00B04EEB"/>
    <w:rsid w:val="00B06D80"/>
    <w:rsid w:val="00B07744"/>
    <w:rsid w:val="00B11309"/>
    <w:rsid w:val="00B11AC4"/>
    <w:rsid w:val="00B12995"/>
    <w:rsid w:val="00B12A05"/>
    <w:rsid w:val="00B131A8"/>
    <w:rsid w:val="00B13E19"/>
    <w:rsid w:val="00B1762C"/>
    <w:rsid w:val="00B17C70"/>
    <w:rsid w:val="00B20D5E"/>
    <w:rsid w:val="00B23A1D"/>
    <w:rsid w:val="00B304FF"/>
    <w:rsid w:val="00B33353"/>
    <w:rsid w:val="00B33358"/>
    <w:rsid w:val="00B33C15"/>
    <w:rsid w:val="00B33CF9"/>
    <w:rsid w:val="00B37689"/>
    <w:rsid w:val="00B43D06"/>
    <w:rsid w:val="00B524E3"/>
    <w:rsid w:val="00B61FEE"/>
    <w:rsid w:val="00B63415"/>
    <w:rsid w:val="00B6406A"/>
    <w:rsid w:val="00B704B9"/>
    <w:rsid w:val="00B70C6C"/>
    <w:rsid w:val="00B764AE"/>
    <w:rsid w:val="00B7698B"/>
    <w:rsid w:val="00B8013A"/>
    <w:rsid w:val="00B82484"/>
    <w:rsid w:val="00B82728"/>
    <w:rsid w:val="00B827D9"/>
    <w:rsid w:val="00B83E1E"/>
    <w:rsid w:val="00B90821"/>
    <w:rsid w:val="00B954FC"/>
    <w:rsid w:val="00BA60FD"/>
    <w:rsid w:val="00BB3F75"/>
    <w:rsid w:val="00BB6D05"/>
    <w:rsid w:val="00BB7E1F"/>
    <w:rsid w:val="00BC054C"/>
    <w:rsid w:val="00BC05AA"/>
    <w:rsid w:val="00BC2075"/>
    <w:rsid w:val="00BC2775"/>
    <w:rsid w:val="00BC494A"/>
    <w:rsid w:val="00BC6142"/>
    <w:rsid w:val="00BD0D43"/>
    <w:rsid w:val="00BD1EFA"/>
    <w:rsid w:val="00BE0ADD"/>
    <w:rsid w:val="00BE1D53"/>
    <w:rsid w:val="00BE5710"/>
    <w:rsid w:val="00BE67BB"/>
    <w:rsid w:val="00BF1E1E"/>
    <w:rsid w:val="00BF4FCC"/>
    <w:rsid w:val="00BF518A"/>
    <w:rsid w:val="00C02148"/>
    <w:rsid w:val="00C02757"/>
    <w:rsid w:val="00C05848"/>
    <w:rsid w:val="00C05DD0"/>
    <w:rsid w:val="00C07283"/>
    <w:rsid w:val="00C110B9"/>
    <w:rsid w:val="00C2153C"/>
    <w:rsid w:val="00C245C6"/>
    <w:rsid w:val="00C24762"/>
    <w:rsid w:val="00C25587"/>
    <w:rsid w:val="00C26384"/>
    <w:rsid w:val="00C26C23"/>
    <w:rsid w:val="00C31A12"/>
    <w:rsid w:val="00C3329D"/>
    <w:rsid w:val="00C33933"/>
    <w:rsid w:val="00C3540F"/>
    <w:rsid w:val="00C35F28"/>
    <w:rsid w:val="00C36003"/>
    <w:rsid w:val="00C43CB4"/>
    <w:rsid w:val="00C442C4"/>
    <w:rsid w:val="00C47D8E"/>
    <w:rsid w:val="00C513EC"/>
    <w:rsid w:val="00C5255F"/>
    <w:rsid w:val="00C5458C"/>
    <w:rsid w:val="00C61AB0"/>
    <w:rsid w:val="00C63A83"/>
    <w:rsid w:val="00C63D6B"/>
    <w:rsid w:val="00C66A32"/>
    <w:rsid w:val="00C7310F"/>
    <w:rsid w:val="00C75451"/>
    <w:rsid w:val="00C778AA"/>
    <w:rsid w:val="00C81AFE"/>
    <w:rsid w:val="00C83319"/>
    <w:rsid w:val="00C84D8C"/>
    <w:rsid w:val="00C84F31"/>
    <w:rsid w:val="00C85959"/>
    <w:rsid w:val="00C911D6"/>
    <w:rsid w:val="00C91EA8"/>
    <w:rsid w:val="00C92236"/>
    <w:rsid w:val="00C92634"/>
    <w:rsid w:val="00C93A16"/>
    <w:rsid w:val="00C94720"/>
    <w:rsid w:val="00C96B4D"/>
    <w:rsid w:val="00C976B3"/>
    <w:rsid w:val="00CA58BA"/>
    <w:rsid w:val="00CA6279"/>
    <w:rsid w:val="00CA67C5"/>
    <w:rsid w:val="00CA7909"/>
    <w:rsid w:val="00CB3D3F"/>
    <w:rsid w:val="00CB6D25"/>
    <w:rsid w:val="00CB7694"/>
    <w:rsid w:val="00CC4631"/>
    <w:rsid w:val="00CC4D10"/>
    <w:rsid w:val="00CD0FC4"/>
    <w:rsid w:val="00CD32D1"/>
    <w:rsid w:val="00CD3FF0"/>
    <w:rsid w:val="00CD7795"/>
    <w:rsid w:val="00CE0C82"/>
    <w:rsid w:val="00CE3720"/>
    <w:rsid w:val="00CE4BFB"/>
    <w:rsid w:val="00CE5EDB"/>
    <w:rsid w:val="00CF1CBF"/>
    <w:rsid w:val="00CF2781"/>
    <w:rsid w:val="00CF4727"/>
    <w:rsid w:val="00D005F0"/>
    <w:rsid w:val="00D0096E"/>
    <w:rsid w:val="00D00FA9"/>
    <w:rsid w:val="00D029B2"/>
    <w:rsid w:val="00D044B5"/>
    <w:rsid w:val="00D13747"/>
    <w:rsid w:val="00D14BEF"/>
    <w:rsid w:val="00D16227"/>
    <w:rsid w:val="00D20B87"/>
    <w:rsid w:val="00D21507"/>
    <w:rsid w:val="00D32358"/>
    <w:rsid w:val="00D338C9"/>
    <w:rsid w:val="00D33BA1"/>
    <w:rsid w:val="00D450AE"/>
    <w:rsid w:val="00D45A85"/>
    <w:rsid w:val="00D4702E"/>
    <w:rsid w:val="00D56E68"/>
    <w:rsid w:val="00D60592"/>
    <w:rsid w:val="00D63567"/>
    <w:rsid w:val="00D640D6"/>
    <w:rsid w:val="00D64C54"/>
    <w:rsid w:val="00D67AC1"/>
    <w:rsid w:val="00D70AF2"/>
    <w:rsid w:val="00D71278"/>
    <w:rsid w:val="00D71D33"/>
    <w:rsid w:val="00D85775"/>
    <w:rsid w:val="00D90D52"/>
    <w:rsid w:val="00D9340F"/>
    <w:rsid w:val="00D93F38"/>
    <w:rsid w:val="00D941AA"/>
    <w:rsid w:val="00D948CE"/>
    <w:rsid w:val="00D96048"/>
    <w:rsid w:val="00DA3788"/>
    <w:rsid w:val="00DA7607"/>
    <w:rsid w:val="00DB0296"/>
    <w:rsid w:val="00DB1608"/>
    <w:rsid w:val="00DB2DC8"/>
    <w:rsid w:val="00DB6014"/>
    <w:rsid w:val="00DC2016"/>
    <w:rsid w:val="00DC679C"/>
    <w:rsid w:val="00DC6F7C"/>
    <w:rsid w:val="00DC7B01"/>
    <w:rsid w:val="00DD0A5E"/>
    <w:rsid w:val="00DD289B"/>
    <w:rsid w:val="00DD5051"/>
    <w:rsid w:val="00DE1FA2"/>
    <w:rsid w:val="00DE242D"/>
    <w:rsid w:val="00DE3E26"/>
    <w:rsid w:val="00DE65F8"/>
    <w:rsid w:val="00DE7037"/>
    <w:rsid w:val="00DE7C63"/>
    <w:rsid w:val="00DF258F"/>
    <w:rsid w:val="00DF5A96"/>
    <w:rsid w:val="00DF5BAE"/>
    <w:rsid w:val="00DF71D2"/>
    <w:rsid w:val="00E00FDC"/>
    <w:rsid w:val="00E01E2B"/>
    <w:rsid w:val="00E05ED3"/>
    <w:rsid w:val="00E0633B"/>
    <w:rsid w:val="00E108FE"/>
    <w:rsid w:val="00E148C4"/>
    <w:rsid w:val="00E14B96"/>
    <w:rsid w:val="00E15F14"/>
    <w:rsid w:val="00E2172A"/>
    <w:rsid w:val="00E23569"/>
    <w:rsid w:val="00E24D93"/>
    <w:rsid w:val="00E26AA9"/>
    <w:rsid w:val="00E26C40"/>
    <w:rsid w:val="00E27A88"/>
    <w:rsid w:val="00E30844"/>
    <w:rsid w:val="00E31F77"/>
    <w:rsid w:val="00E34C15"/>
    <w:rsid w:val="00E34C87"/>
    <w:rsid w:val="00E35F68"/>
    <w:rsid w:val="00E37FD6"/>
    <w:rsid w:val="00E4093C"/>
    <w:rsid w:val="00E41420"/>
    <w:rsid w:val="00E41666"/>
    <w:rsid w:val="00E416F5"/>
    <w:rsid w:val="00E435B2"/>
    <w:rsid w:val="00E43A99"/>
    <w:rsid w:val="00E44D9D"/>
    <w:rsid w:val="00E45721"/>
    <w:rsid w:val="00E46196"/>
    <w:rsid w:val="00E4750E"/>
    <w:rsid w:val="00E50513"/>
    <w:rsid w:val="00E518DA"/>
    <w:rsid w:val="00E51D52"/>
    <w:rsid w:val="00E54140"/>
    <w:rsid w:val="00E561B8"/>
    <w:rsid w:val="00E569CB"/>
    <w:rsid w:val="00E57133"/>
    <w:rsid w:val="00E61303"/>
    <w:rsid w:val="00E63EE7"/>
    <w:rsid w:val="00E6525D"/>
    <w:rsid w:val="00E72036"/>
    <w:rsid w:val="00E72438"/>
    <w:rsid w:val="00E81D5F"/>
    <w:rsid w:val="00E82DF8"/>
    <w:rsid w:val="00E9409C"/>
    <w:rsid w:val="00EA604A"/>
    <w:rsid w:val="00EA6237"/>
    <w:rsid w:val="00EA6A8E"/>
    <w:rsid w:val="00EA6C42"/>
    <w:rsid w:val="00EA710B"/>
    <w:rsid w:val="00EA73F9"/>
    <w:rsid w:val="00EB1CD2"/>
    <w:rsid w:val="00EB40E3"/>
    <w:rsid w:val="00EB48B8"/>
    <w:rsid w:val="00EB51B6"/>
    <w:rsid w:val="00EB6896"/>
    <w:rsid w:val="00EB7276"/>
    <w:rsid w:val="00EC11F2"/>
    <w:rsid w:val="00EC11F6"/>
    <w:rsid w:val="00EC4706"/>
    <w:rsid w:val="00ED0287"/>
    <w:rsid w:val="00ED29C3"/>
    <w:rsid w:val="00ED36CF"/>
    <w:rsid w:val="00ED7B0F"/>
    <w:rsid w:val="00EE0C87"/>
    <w:rsid w:val="00EE1322"/>
    <w:rsid w:val="00EE725F"/>
    <w:rsid w:val="00EF2CC2"/>
    <w:rsid w:val="00F01499"/>
    <w:rsid w:val="00F0379C"/>
    <w:rsid w:val="00F055A1"/>
    <w:rsid w:val="00F05FF4"/>
    <w:rsid w:val="00F06898"/>
    <w:rsid w:val="00F07708"/>
    <w:rsid w:val="00F11677"/>
    <w:rsid w:val="00F122E8"/>
    <w:rsid w:val="00F12DBB"/>
    <w:rsid w:val="00F13EB1"/>
    <w:rsid w:val="00F165D8"/>
    <w:rsid w:val="00F166EF"/>
    <w:rsid w:val="00F22E33"/>
    <w:rsid w:val="00F3072C"/>
    <w:rsid w:val="00F31B05"/>
    <w:rsid w:val="00F3202A"/>
    <w:rsid w:val="00F334D4"/>
    <w:rsid w:val="00F33D46"/>
    <w:rsid w:val="00F348D2"/>
    <w:rsid w:val="00F36F1D"/>
    <w:rsid w:val="00F402F1"/>
    <w:rsid w:val="00F43060"/>
    <w:rsid w:val="00F445E6"/>
    <w:rsid w:val="00F45A48"/>
    <w:rsid w:val="00F4753F"/>
    <w:rsid w:val="00F50025"/>
    <w:rsid w:val="00F518FA"/>
    <w:rsid w:val="00F5440B"/>
    <w:rsid w:val="00F563F1"/>
    <w:rsid w:val="00F56A09"/>
    <w:rsid w:val="00F572B3"/>
    <w:rsid w:val="00F642ED"/>
    <w:rsid w:val="00F7185D"/>
    <w:rsid w:val="00F751FF"/>
    <w:rsid w:val="00F81A1C"/>
    <w:rsid w:val="00F822C0"/>
    <w:rsid w:val="00F82967"/>
    <w:rsid w:val="00F90644"/>
    <w:rsid w:val="00F909CC"/>
    <w:rsid w:val="00F92825"/>
    <w:rsid w:val="00F94B2E"/>
    <w:rsid w:val="00F94B4B"/>
    <w:rsid w:val="00F95154"/>
    <w:rsid w:val="00F96237"/>
    <w:rsid w:val="00FA3EDD"/>
    <w:rsid w:val="00FA4536"/>
    <w:rsid w:val="00FA622C"/>
    <w:rsid w:val="00FA6DFB"/>
    <w:rsid w:val="00FB3F82"/>
    <w:rsid w:val="00FB6BA1"/>
    <w:rsid w:val="00FB7175"/>
    <w:rsid w:val="00FC1E78"/>
    <w:rsid w:val="00FC2668"/>
    <w:rsid w:val="00FD1499"/>
    <w:rsid w:val="00FD18AD"/>
    <w:rsid w:val="00FD2C9B"/>
    <w:rsid w:val="00FD32A2"/>
    <w:rsid w:val="00FD3CCB"/>
    <w:rsid w:val="00FD5224"/>
    <w:rsid w:val="00FE0BB8"/>
    <w:rsid w:val="00FE1D55"/>
    <w:rsid w:val="00FE207D"/>
    <w:rsid w:val="00FE3363"/>
    <w:rsid w:val="00FE407A"/>
    <w:rsid w:val="00FE6071"/>
    <w:rsid w:val="00FE731C"/>
    <w:rsid w:val="00FE7674"/>
    <w:rsid w:val="00FF04EE"/>
    <w:rsid w:val="00FF1713"/>
    <w:rsid w:val="00FF3FF1"/>
    <w:rsid w:val="00FF41A3"/>
    <w:rsid w:val="00FF5183"/>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D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4D"/>
    <w:pPr>
      <w:ind w:left="720"/>
      <w:contextualSpacing/>
    </w:pPr>
  </w:style>
  <w:style w:type="paragraph" w:styleId="Header">
    <w:name w:val="header"/>
    <w:basedOn w:val="Normal"/>
    <w:link w:val="HeaderChar"/>
    <w:uiPriority w:val="99"/>
    <w:unhideWhenUsed/>
    <w:rsid w:val="007703E9"/>
    <w:pPr>
      <w:tabs>
        <w:tab w:val="center" w:pos="4680"/>
        <w:tab w:val="right" w:pos="9360"/>
      </w:tabs>
    </w:pPr>
  </w:style>
  <w:style w:type="character" w:customStyle="1" w:styleId="HeaderChar">
    <w:name w:val="Header Char"/>
    <w:basedOn w:val="DefaultParagraphFont"/>
    <w:link w:val="Header"/>
    <w:uiPriority w:val="99"/>
    <w:rsid w:val="00770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3E9"/>
    <w:pPr>
      <w:tabs>
        <w:tab w:val="center" w:pos="4680"/>
        <w:tab w:val="right" w:pos="9360"/>
      </w:tabs>
    </w:pPr>
  </w:style>
  <w:style w:type="character" w:customStyle="1" w:styleId="FooterChar">
    <w:name w:val="Footer Char"/>
    <w:basedOn w:val="DefaultParagraphFont"/>
    <w:link w:val="Footer"/>
    <w:uiPriority w:val="99"/>
    <w:rsid w:val="007703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FD6"/>
    <w:rPr>
      <w:rFonts w:ascii="Tahoma" w:hAnsi="Tahoma" w:cs="Tahoma"/>
      <w:sz w:val="16"/>
      <w:szCs w:val="16"/>
    </w:rPr>
  </w:style>
  <w:style w:type="character" w:customStyle="1" w:styleId="BalloonTextChar">
    <w:name w:val="Balloon Text Char"/>
    <w:basedOn w:val="DefaultParagraphFont"/>
    <w:link w:val="BalloonText"/>
    <w:uiPriority w:val="99"/>
    <w:semiHidden/>
    <w:rsid w:val="00E37FD6"/>
    <w:rPr>
      <w:rFonts w:ascii="Tahoma" w:eastAsia="Times New Roman" w:hAnsi="Tahoma" w:cs="Tahoma"/>
      <w:sz w:val="16"/>
      <w:szCs w:val="16"/>
    </w:rPr>
  </w:style>
  <w:style w:type="character" w:styleId="Hyperlink">
    <w:name w:val="Hyperlink"/>
    <w:basedOn w:val="DefaultParagraphFont"/>
    <w:uiPriority w:val="99"/>
    <w:unhideWhenUsed/>
    <w:rsid w:val="0043201B"/>
    <w:rPr>
      <w:color w:val="0000FF" w:themeColor="hyperlink"/>
      <w:u w:val="single"/>
    </w:rPr>
  </w:style>
  <w:style w:type="paragraph" w:styleId="EndnoteText">
    <w:name w:val="endnote text"/>
    <w:basedOn w:val="Normal"/>
    <w:link w:val="EndnoteTextChar"/>
    <w:uiPriority w:val="99"/>
    <w:semiHidden/>
    <w:unhideWhenUsed/>
    <w:rsid w:val="001823DA"/>
    <w:rPr>
      <w:sz w:val="20"/>
      <w:szCs w:val="20"/>
    </w:rPr>
  </w:style>
  <w:style w:type="character" w:customStyle="1" w:styleId="EndnoteTextChar">
    <w:name w:val="Endnote Text Char"/>
    <w:basedOn w:val="DefaultParagraphFont"/>
    <w:link w:val="EndnoteText"/>
    <w:uiPriority w:val="99"/>
    <w:semiHidden/>
    <w:rsid w:val="001823D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823DA"/>
    <w:rPr>
      <w:vertAlign w:val="superscript"/>
    </w:rPr>
  </w:style>
  <w:style w:type="paragraph" w:styleId="FootnoteText">
    <w:name w:val="footnote text"/>
    <w:basedOn w:val="Normal"/>
    <w:link w:val="FootnoteTextChar"/>
    <w:uiPriority w:val="99"/>
    <w:semiHidden/>
    <w:unhideWhenUsed/>
    <w:rsid w:val="001823DA"/>
    <w:rPr>
      <w:sz w:val="20"/>
      <w:szCs w:val="20"/>
    </w:rPr>
  </w:style>
  <w:style w:type="character" w:customStyle="1" w:styleId="FootnoteTextChar">
    <w:name w:val="Footnote Text Char"/>
    <w:basedOn w:val="DefaultParagraphFont"/>
    <w:link w:val="FootnoteText"/>
    <w:uiPriority w:val="99"/>
    <w:semiHidden/>
    <w:rsid w:val="001823D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23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D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4D"/>
    <w:pPr>
      <w:ind w:left="720"/>
      <w:contextualSpacing/>
    </w:pPr>
  </w:style>
  <w:style w:type="paragraph" w:styleId="Header">
    <w:name w:val="header"/>
    <w:basedOn w:val="Normal"/>
    <w:link w:val="HeaderChar"/>
    <w:uiPriority w:val="99"/>
    <w:unhideWhenUsed/>
    <w:rsid w:val="007703E9"/>
    <w:pPr>
      <w:tabs>
        <w:tab w:val="center" w:pos="4680"/>
        <w:tab w:val="right" w:pos="9360"/>
      </w:tabs>
    </w:pPr>
  </w:style>
  <w:style w:type="character" w:customStyle="1" w:styleId="HeaderChar">
    <w:name w:val="Header Char"/>
    <w:basedOn w:val="DefaultParagraphFont"/>
    <w:link w:val="Header"/>
    <w:uiPriority w:val="99"/>
    <w:rsid w:val="007703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3E9"/>
    <w:pPr>
      <w:tabs>
        <w:tab w:val="center" w:pos="4680"/>
        <w:tab w:val="right" w:pos="9360"/>
      </w:tabs>
    </w:pPr>
  </w:style>
  <w:style w:type="character" w:customStyle="1" w:styleId="FooterChar">
    <w:name w:val="Footer Char"/>
    <w:basedOn w:val="DefaultParagraphFont"/>
    <w:link w:val="Footer"/>
    <w:uiPriority w:val="99"/>
    <w:rsid w:val="007703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7FD6"/>
    <w:rPr>
      <w:rFonts w:ascii="Tahoma" w:hAnsi="Tahoma" w:cs="Tahoma"/>
      <w:sz w:val="16"/>
      <w:szCs w:val="16"/>
    </w:rPr>
  </w:style>
  <w:style w:type="character" w:customStyle="1" w:styleId="BalloonTextChar">
    <w:name w:val="Balloon Text Char"/>
    <w:basedOn w:val="DefaultParagraphFont"/>
    <w:link w:val="BalloonText"/>
    <w:uiPriority w:val="99"/>
    <w:semiHidden/>
    <w:rsid w:val="00E37FD6"/>
    <w:rPr>
      <w:rFonts w:ascii="Tahoma" w:eastAsia="Times New Roman" w:hAnsi="Tahoma" w:cs="Tahoma"/>
      <w:sz w:val="16"/>
      <w:szCs w:val="16"/>
    </w:rPr>
  </w:style>
  <w:style w:type="character" w:styleId="Hyperlink">
    <w:name w:val="Hyperlink"/>
    <w:basedOn w:val="DefaultParagraphFont"/>
    <w:uiPriority w:val="99"/>
    <w:unhideWhenUsed/>
    <w:rsid w:val="0043201B"/>
    <w:rPr>
      <w:color w:val="0000FF" w:themeColor="hyperlink"/>
      <w:u w:val="single"/>
    </w:rPr>
  </w:style>
  <w:style w:type="paragraph" w:styleId="EndnoteText">
    <w:name w:val="endnote text"/>
    <w:basedOn w:val="Normal"/>
    <w:link w:val="EndnoteTextChar"/>
    <w:uiPriority w:val="99"/>
    <w:semiHidden/>
    <w:unhideWhenUsed/>
    <w:rsid w:val="001823DA"/>
    <w:rPr>
      <w:sz w:val="20"/>
      <w:szCs w:val="20"/>
    </w:rPr>
  </w:style>
  <w:style w:type="character" w:customStyle="1" w:styleId="EndnoteTextChar">
    <w:name w:val="Endnote Text Char"/>
    <w:basedOn w:val="DefaultParagraphFont"/>
    <w:link w:val="EndnoteText"/>
    <w:uiPriority w:val="99"/>
    <w:semiHidden/>
    <w:rsid w:val="001823D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823DA"/>
    <w:rPr>
      <w:vertAlign w:val="superscript"/>
    </w:rPr>
  </w:style>
  <w:style w:type="paragraph" w:styleId="FootnoteText">
    <w:name w:val="footnote text"/>
    <w:basedOn w:val="Normal"/>
    <w:link w:val="FootnoteTextChar"/>
    <w:uiPriority w:val="99"/>
    <w:semiHidden/>
    <w:unhideWhenUsed/>
    <w:rsid w:val="001823DA"/>
    <w:rPr>
      <w:sz w:val="20"/>
      <w:szCs w:val="20"/>
    </w:rPr>
  </w:style>
  <w:style w:type="character" w:customStyle="1" w:styleId="FootnoteTextChar">
    <w:name w:val="Footnote Text Char"/>
    <w:basedOn w:val="DefaultParagraphFont"/>
    <w:link w:val="FootnoteText"/>
    <w:uiPriority w:val="99"/>
    <w:semiHidden/>
    <w:rsid w:val="001823D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823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30CEE-F810-41D0-8B59-4AB5872D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25</Pages>
  <Words>4853</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Fedders Law offices</dc:creator>
  <cp:lastModifiedBy>Receptionist</cp:lastModifiedBy>
  <cp:revision>858</cp:revision>
  <cp:lastPrinted>2014-02-18T16:13:00Z</cp:lastPrinted>
  <dcterms:created xsi:type="dcterms:W3CDTF">2014-01-17T15:35:00Z</dcterms:created>
  <dcterms:modified xsi:type="dcterms:W3CDTF">2014-02-19T15:36:00Z</dcterms:modified>
</cp:coreProperties>
</file>